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Times New Roman" w:hAnsi="Times New Roman" w:eastAsia="宋体" w:cs="Times New Roman"/>
          <w:color w:val="auto"/>
          <w:kern w:val="2"/>
          <w:sz w:val="22"/>
          <w:szCs w:val="24"/>
          <w:lang w:val="zh-CN"/>
        </w:rPr>
        <w:id w:val="-174034946"/>
        <w:docPartObj>
          <w:docPartGallery w:val="Table of Contents"/>
          <w:docPartUnique/>
        </w:docPartObj>
      </w:sdtPr>
      <w:sdtEndPr>
        <w:rPr>
          <w:rFonts w:ascii="Times New Roman" w:hAnsi="Times New Roman" w:eastAsia="宋体" w:cs="Times New Roman"/>
          <w:b/>
          <w:bCs/>
          <w:color w:val="auto"/>
          <w:kern w:val="2"/>
          <w:sz w:val="22"/>
          <w:szCs w:val="24"/>
          <w:lang w:val="zh-CN"/>
        </w:rPr>
      </w:sdtEndPr>
      <w:sdtContent>
        <w:p w14:paraId="224B815B">
          <w:pPr>
            <w:pStyle w:val="145"/>
            <w:spacing w:before="360"/>
            <w:jc w:val="center"/>
            <w:rPr>
              <w:rFonts w:ascii="Times New Roman" w:hAnsi="Times New Roman" w:cs="Times New Roman"/>
              <w:b/>
              <w:color w:val="000000" w:themeColor="text1"/>
              <w:sz w:val="28"/>
              <w:szCs w:val="28"/>
              <w:lang w:val="zh-CN"/>
            </w:rPr>
          </w:pPr>
          <w:bookmarkStart w:id="0" w:name="_Toc109817530"/>
          <w:r>
            <w:rPr>
              <w:rFonts w:ascii="Times New Roman" w:hAnsi="Times New Roman" w:cs="Times New Roman"/>
              <w:b/>
              <w:color w:val="000000" w:themeColor="text1"/>
              <w:sz w:val="28"/>
              <w:szCs w:val="28"/>
              <w:lang w:val="zh-CN"/>
            </w:rPr>
            <w:t>Contents</w:t>
          </w:r>
        </w:p>
        <w:p w14:paraId="1FB74770">
          <w:pPr>
            <w:rPr>
              <w:lang w:val="zh-CN"/>
            </w:rPr>
          </w:pPr>
        </w:p>
        <w:p w14:paraId="1B5E06FA">
          <w:pPr>
            <w:pStyle w:val="21"/>
            <w:tabs>
              <w:tab w:val="right" w:leader="dot" w:pos="6221"/>
            </w:tabs>
            <w:ind w:firstLine="440"/>
            <w:rPr>
              <w:rFonts w:asciiTheme="minorHAnsi" w:hAnsiTheme="minorHAnsi" w:eastAsiaTheme="minorEastAsia" w:cstheme="minorBidi"/>
              <w:sz w:val="21"/>
              <w:szCs w:val="22"/>
            </w:rPr>
          </w:pPr>
          <w:r>
            <w:fldChar w:fldCharType="begin"/>
          </w:r>
          <w:r>
            <w:instrText xml:space="preserve"> TOC \o "1-3" \h \z \u </w:instrText>
          </w:r>
          <w:r>
            <w:fldChar w:fldCharType="separate"/>
          </w:r>
          <w:r>
            <w:fldChar w:fldCharType="begin"/>
          </w:r>
          <w:r>
            <w:instrText xml:space="preserve"> HYPERLINK \l "_Toc163910295" </w:instrText>
          </w:r>
          <w:r>
            <w:fldChar w:fldCharType="separate"/>
          </w:r>
          <w:r>
            <w:rPr>
              <w:rStyle w:val="38"/>
              <w:rFonts w:eastAsia="仿宋"/>
              <w:b/>
              <w:bCs/>
            </w:rPr>
            <w:t>Preface</w:t>
          </w:r>
          <w:r>
            <w:tab/>
          </w:r>
          <w:r>
            <w:fldChar w:fldCharType="begin"/>
          </w:r>
          <w:r>
            <w:instrText xml:space="preserve"> PAGEREF _Toc163910295 \h </w:instrText>
          </w:r>
          <w:r>
            <w:fldChar w:fldCharType="separate"/>
          </w:r>
          <w:r>
            <w:t>1</w:t>
          </w:r>
          <w:r>
            <w:fldChar w:fldCharType="end"/>
          </w:r>
          <w:r>
            <w:fldChar w:fldCharType="end"/>
          </w:r>
        </w:p>
        <w:p w14:paraId="7498E52C">
          <w:pPr>
            <w:pStyle w:val="21"/>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"_Toc163910296" </w:instrText>
          </w:r>
          <w:r>
            <w:fldChar w:fldCharType="separate"/>
          </w:r>
          <w:r>
            <w:rPr>
              <w:rStyle w:val="38"/>
              <w:rFonts w:eastAsia="仿宋"/>
              <w:b/>
              <w:bCs/>
            </w:rPr>
            <w:t>I. Traditional Industries</w:t>
          </w:r>
          <w:r>
            <w:tab/>
          </w:r>
          <w:r>
            <w:fldChar w:fldCharType="begin"/>
          </w:r>
          <w:r>
            <w:instrText xml:space="preserve"> PAGEREF _Toc163910296 \h </w:instrText>
          </w:r>
          <w:r>
            <w:fldChar w:fldCharType="separate"/>
          </w:r>
          <w:r>
            <w:t>4</w:t>
          </w:r>
          <w:r>
            <w:fldChar w:fldCharType="end"/>
          </w:r>
          <w:r>
            <w:fldChar w:fldCharType="end"/>
          </w:r>
        </w:p>
        <w:p w14:paraId="78D3515C">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"_Toc163910297" </w:instrText>
          </w:r>
          <w:r>
            <w:fldChar w:fldCharType="separate"/>
          </w:r>
          <w:r>
            <w:rPr>
              <w:rStyle w:val="38"/>
              <w:rFonts w:eastAsia="仿宋"/>
              <w:bCs/>
            </w:rPr>
            <w:t>1. Modern Petrochemicals</w:t>
          </w:r>
          <w:r>
            <w:tab/>
          </w:r>
          <w:r>
            <w:fldChar w:fldCharType="begin"/>
          </w:r>
          <w:r>
            <w:instrText xml:space="preserve"> PAGEREF _Toc163910297 \h </w:instrText>
          </w:r>
          <w:r>
            <w:fldChar w:fldCharType="separate"/>
          </w:r>
          <w:r>
            <w:t>4</w:t>
          </w:r>
          <w:r>
            <w:fldChar w:fldCharType="end"/>
          </w:r>
          <w:r>
            <w:fldChar w:fldCharType="end"/>
          </w:r>
        </w:p>
        <w:p w14:paraId="6496795B">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"_Toc163910302" </w:instrText>
          </w:r>
          <w:r>
            <w:fldChar w:fldCharType="separate"/>
          </w:r>
          <w:r>
            <w:rPr>
              <w:rStyle w:val="38"/>
              <w:rFonts w:eastAsia="仿宋"/>
              <w:bCs/>
            </w:rPr>
            <w:t>2. Green Mining</w:t>
          </w:r>
          <w:r>
            <w:tab/>
          </w:r>
          <w:r>
            <w:fldChar w:fldCharType="begin"/>
          </w:r>
          <w:r>
            <w:instrText xml:space="preserve"> PAGEREF _Toc163910302 \h </w:instrText>
          </w:r>
          <w:r>
            <w:fldChar w:fldCharType="separate"/>
          </w:r>
          <w:r>
            <w:t>10</w:t>
          </w:r>
          <w:r>
            <w:fldChar w:fldCharType="end"/>
          </w:r>
          <w:r>
            <w:fldChar w:fldCharType="end"/>
          </w:r>
        </w:p>
        <w:p w14:paraId="42CE05C3">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"_Toc163910307" </w:instrText>
          </w:r>
          <w:r>
            <w:fldChar w:fldCharType="separate"/>
          </w:r>
          <w:r>
            <w:rPr>
              <w:rStyle w:val="38"/>
              <w:rFonts w:eastAsia="仿宋"/>
              <w:bCs/>
            </w:rPr>
            <w:t>3. Food Processing</w:t>
          </w:r>
          <w:r>
            <w:tab/>
          </w:r>
          <w:r>
            <w:fldChar w:fldCharType="begin"/>
          </w:r>
          <w:r>
            <w:instrText xml:space="preserve"> PAGEREF _Toc163910307 \h </w:instrText>
          </w:r>
          <w:r>
            <w:fldChar w:fldCharType="separate"/>
          </w:r>
          <w:r>
            <w:t>17</w:t>
          </w:r>
          <w:r>
            <w:fldChar w:fldCharType="end"/>
          </w:r>
          <w:r>
            <w:fldChar w:fldCharType="end"/>
          </w:r>
        </w:p>
        <w:p w14:paraId="14AE5828">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"_Toc163910312" </w:instrText>
          </w:r>
          <w:r>
            <w:fldChar w:fldCharType="separate"/>
          </w:r>
          <w:r>
            <w:rPr>
              <w:rStyle w:val="38"/>
              <w:rFonts w:eastAsia="仿宋"/>
              <w:bCs/>
            </w:rPr>
            <w:t>4. Light Industry and Textiles</w:t>
          </w:r>
          <w:r>
            <w:tab/>
          </w:r>
          <w:r>
            <w:fldChar w:fldCharType="begin"/>
          </w:r>
          <w:r>
            <w:instrText xml:space="preserve"> PAGEREF _Toc163910312 \h </w:instrText>
          </w:r>
          <w:r>
            <w:fldChar w:fldCharType="separate"/>
          </w:r>
          <w:r>
            <w:t>24</w:t>
          </w:r>
          <w:r>
            <w:fldChar w:fldCharType="end"/>
          </w:r>
          <w:r>
            <w:fldChar w:fldCharType="end"/>
          </w:r>
        </w:p>
        <w:p w14:paraId="496E758F">
          <w:pPr>
            <w:pStyle w:val="21"/>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"_Toc163910317" </w:instrText>
          </w:r>
          <w:r>
            <w:fldChar w:fldCharType="separate"/>
          </w:r>
          <w:r>
            <w:rPr>
              <w:rStyle w:val="38"/>
              <w:rFonts w:eastAsia="仿宋"/>
              <w:b/>
              <w:bCs/>
            </w:rPr>
            <w:t>II. Advantageous Industries</w:t>
          </w:r>
          <w:r>
            <w:tab/>
          </w:r>
          <w:r>
            <w:fldChar w:fldCharType="begin"/>
          </w:r>
          <w:r>
            <w:instrText xml:space="preserve"> PAGEREF _Toc163910317 \h </w:instrText>
          </w:r>
          <w:r>
            <w:fldChar w:fldCharType="separate"/>
          </w:r>
          <w:r>
            <w:t>30</w:t>
          </w:r>
          <w:r>
            <w:fldChar w:fldCharType="end"/>
          </w:r>
          <w:r>
            <w:fldChar w:fldCharType="end"/>
          </w:r>
        </w:p>
        <w:p w14:paraId="2DA557E5">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"_Toc163910318" </w:instrText>
          </w:r>
          <w:r>
            <w:fldChar w:fldCharType="separate"/>
          </w:r>
          <w:r>
            <w:rPr>
              <w:rStyle w:val="38"/>
              <w:rFonts w:eastAsia="仿宋"/>
              <w:bCs/>
            </w:rPr>
            <w:t>5. Construction Machinery</w:t>
          </w:r>
          <w:r>
            <w:tab/>
          </w:r>
          <w:r>
            <w:fldChar w:fldCharType="begin"/>
          </w:r>
          <w:r>
            <w:instrText xml:space="preserve"> PAGEREF _Toc163910318 \h </w:instrText>
          </w:r>
          <w:r>
            <w:fldChar w:fldCharType="separate"/>
          </w:r>
          <w:r>
            <w:t>30</w:t>
          </w:r>
          <w:r>
            <w:fldChar w:fldCharType="end"/>
          </w:r>
          <w:r>
            <w:fldChar w:fldCharType="end"/>
          </w:r>
        </w:p>
        <w:p w14:paraId="5CA734DE">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"_Toc163910323" </w:instrText>
          </w:r>
          <w:r>
            <w:fldChar w:fldCharType="separate"/>
          </w:r>
          <w:r>
            <w:rPr>
              <w:rStyle w:val="38"/>
              <w:rFonts w:eastAsia="仿宋"/>
              <w:bCs/>
            </w:rPr>
            <w:t>6. Rail Transit</w:t>
          </w:r>
          <w:r>
            <w:tab/>
          </w:r>
          <w:r>
            <w:fldChar w:fldCharType="begin"/>
          </w:r>
          <w:r>
            <w:instrText xml:space="preserve"> PAGEREF _Toc163910323 \h </w:instrText>
          </w:r>
          <w:r>
            <w:fldChar w:fldCharType="separate"/>
          </w:r>
          <w:r>
            <w:t>37</w:t>
          </w:r>
          <w:r>
            <w:fldChar w:fldCharType="end"/>
          </w:r>
          <w:r>
            <w:fldChar w:fldCharType="end"/>
          </w:r>
        </w:p>
        <w:p w14:paraId="4B13C028">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"_Toc163910328" </w:instrText>
          </w:r>
          <w:r>
            <w:fldChar w:fldCharType="separate"/>
          </w:r>
          <w:r>
            <w:rPr>
              <w:rStyle w:val="38"/>
              <w:rFonts w:eastAsia="仿宋"/>
              <w:bCs/>
            </w:rPr>
            <w:t>7. Modern Agriculture</w:t>
          </w:r>
          <w:r>
            <w:tab/>
          </w:r>
          <w:r>
            <w:fldChar w:fldCharType="begin"/>
          </w:r>
          <w:r>
            <w:instrText xml:space="preserve"> PAGEREF _Toc163910328 \h </w:instrText>
          </w:r>
          <w:r>
            <w:fldChar w:fldCharType="separate"/>
          </w:r>
          <w:r>
            <w:t>42</w:t>
          </w:r>
          <w:r>
            <w:fldChar w:fldCharType="end"/>
          </w:r>
          <w:r>
            <w:fldChar w:fldCharType="end"/>
          </w:r>
        </w:p>
        <w:p w14:paraId="3A598E3E">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"_Toc163910333" </w:instrText>
          </w:r>
          <w:r>
            <w:fldChar w:fldCharType="separate"/>
          </w:r>
          <w:r>
            <w:rPr>
              <w:rStyle w:val="38"/>
              <w:rFonts w:eastAsia="仿宋"/>
              <w:bCs/>
            </w:rPr>
            <w:t>8. Culture and Tourism</w:t>
          </w:r>
          <w:r>
            <w:tab/>
          </w:r>
          <w:r>
            <w:fldChar w:fldCharType="begin"/>
          </w:r>
          <w:r>
            <w:instrText xml:space="preserve"> PAGEREF _Toc163910333 \h </w:instrText>
          </w:r>
          <w:r>
            <w:fldChar w:fldCharType="separate"/>
          </w:r>
          <w:r>
            <w:t>51</w:t>
          </w:r>
          <w:r>
            <w:fldChar w:fldCharType="end"/>
          </w:r>
          <w:r>
            <w:fldChar w:fldCharType="end"/>
          </w:r>
        </w:p>
        <w:p w14:paraId="39F41477">
          <w:pPr>
            <w:pStyle w:val="21"/>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"_Toc163910338" </w:instrText>
          </w:r>
          <w:r>
            <w:fldChar w:fldCharType="separate"/>
          </w:r>
          <w:r>
            <w:rPr>
              <w:rStyle w:val="38"/>
              <w:rFonts w:eastAsia="仿宋"/>
              <w:b/>
              <w:bCs/>
            </w:rPr>
            <w:t>III. Emerging Industries</w:t>
          </w:r>
          <w:r>
            <w:tab/>
          </w:r>
          <w:r>
            <w:fldChar w:fldCharType="begin"/>
          </w:r>
          <w:r>
            <w:instrText xml:space="preserve"> PAGEREF _Toc163910338 \h </w:instrText>
          </w:r>
          <w:r>
            <w:fldChar w:fldCharType="separate"/>
          </w:r>
          <w:r>
            <w:t>58</w:t>
          </w:r>
          <w:r>
            <w:fldChar w:fldCharType="end"/>
          </w:r>
          <w:r>
            <w:fldChar w:fldCharType="end"/>
          </w:r>
        </w:p>
        <w:p w14:paraId="3577D1F0">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"_Toc163910339" </w:instrText>
          </w:r>
          <w:r>
            <w:fldChar w:fldCharType="separate"/>
          </w:r>
          <w:r>
            <w:rPr>
              <w:rStyle w:val="38"/>
              <w:rFonts w:eastAsia="仿宋"/>
              <w:bCs/>
            </w:rPr>
            <w:t>9. Digital Industry</w:t>
          </w:r>
          <w:r>
            <w:tab/>
          </w:r>
          <w:r>
            <w:fldChar w:fldCharType="begin"/>
          </w:r>
          <w:r>
            <w:instrText xml:space="preserve"> PAGEREF _Toc163910339 \h </w:instrText>
          </w:r>
          <w:r>
            <w:fldChar w:fldCharType="separate"/>
          </w:r>
          <w:r>
            <w:t>58</w:t>
          </w:r>
          <w:r>
            <w:fldChar w:fldCharType="end"/>
          </w:r>
          <w:r>
            <w:fldChar w:fldCharType="end"/>
          </w:r>
        </w:p>
        <w:p w14:paraId="03B0DA72">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"_Toc163910344" </w:instrText>
          </w:r>
          <w:r>
            <w:fldChar w:fldCharType="separate"/>
          </w:r>
          <w:r>
            <w:rPr>
              <w:rStyle w:val="38"/>
              <w:rFonts w:eastAsia="仿宋"/>
              <w:bCs/>
            </w:rPr>
            <w:t>10. New Energy</w:t>
          </w:r>
          <w:r>
            <w:tab/>
          </w:r>
          <w:r>
            <w:fldChar w:fldCharType="begin"/>
          </w:r>
          <w:r>
            <w:instrText xml:space="preserve"> PAGEREF _Toc163910344 \h </w:instrText>
          </w:r>
          <w:r>
            <w:fldChar w:fldCharType="separate"/>
          </w:r>
          <w:r>
            <w:t>66</w:t>
          </w:r>
          <w:r>
            <w:fldChar w:fldCharType="end"/>
          </w:r>
          <w:r>
            <w:fldChar w:fldCharType="end"/>
          </w:r>
        </w:p>
        <w:p w14:paraId="07DBCB5E">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"_Toc163910349" </w:instrText>
          </w:r>
          <w:r>
            <w:fldChar w:fldCharType="separate"/>
          </w:r>
          <w:r>
            <w:rPr>
              <w:rStyle w:val="38"/>
              <w:rFonts w:eastAsia="仿宋"/>
              <w:bCs/>
            </w:rPr>
            <w:t>11. Healthcare</w:t>
          </w:r>
          <w:r>
            <w:tab/>
          </w:r>
          <w:r>
            <w:fldChar w:fldCharType="begin"/>
          </w:r>
          <w:r>
            <w:instrText xml:space="preserve"> PAGEREF _Toc163910349 \h </w:instrText>
          </w:r>
          <w:r>
            <w:fldChar w:fldCharType="separate"/>
          </w:r>
          <w:r>
            <w:t>73</w:t>
          </w:r>
          <w:r>
            <w:fldChar w:fldCharType="end"/>
          </w:r>
          <w:r>
            <w:fldChar w:fldCharType="end"/>
          </w:r>
        </w:p>
        <w:p w14:paraId="4A17199B">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"_Toc163910354" </w:instrText>
          </w:r>
          <w:r>
            <w:fldChar w:fldCharType="separate"/>
          </w:r>
          <w:r>
            <w:rPr>
              <w:rStyle w:val="38"/>
              <w:rFonts w:eastAsia="仿宋"/>
              <w:bCs/>
            </w:rPr>
            <w:t>12. Aerospace, Aviation, and Marine Industry</w:t>
          </w:r>
          <w:r>
            <w:tab/>
          </w:r>
          <w:r>
            <w:fldChar w:fldCharType="begin"/>
          </w:r>
          <w:r>
            <w:instrText xml:space="preserve"> PAGEREF _Toc163910354 \h </w:instrText>
          </w:r>
          <w:r>
            <w:fldChar w:fldCharType="separate"/>
          </w:r>
          <w:r>
            <w:t>81</w:t>
          </w:r>
          <w:r>
            <w:fldChar w:fldCharType="end"/>
          </w:r>
          <w:r>
            <w:fldChar w:fldCharType="end"/>
          </w:r>
        </w:p>
        <w:p w14:paraId="76F615FA">
          <w:pPr>
            <w:pStyle w:val="21"/>
            <w:keepNext/>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"_Toc163910359" </w:instrText>
          </w:r>
          <w:r>
            <w:fldChar w:fldCharType="separate"/>
          </w:r>
          <w:r>
            <w:rPr>
              <w:rStyle w:val="38"/>
              <w:rFonts w:eastAsia="仿宋"/>
              <w:b/>
              <w:bCs/>
            </w:rPr>
            <w:t>IV. Future-oriented Industries</w:t>
          </w:r>
          <w:r>
            <w:tab/>
          </w:r>
          <w:r>
            <w:fldChar w:fldCharType="begin"/>
          </w:r>
          <w:r>
            <w:instrText xml:space="preserve"> PAGEREF _Toc163910359 \h </w:instrText>
          </w:r>
          <w:r>
            <w:fldChar w:fldCharType="separate"/>
          </w:r>
          <w:r>
            <w:t>87</w:t>
          </w:r>
          <w:r>
            <w:fldChar w:fldCharType="end"/>
          </w:r>
          <w:r>
            <w:fldChar w:fldCharType="end"/>
          </w:r>
        </w:p>
        <w:p w14:paraId="5ABB9ED3">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"_Toc163910360" </w:instrText>
          </w:r>
          <w:r>
            <w:fldChar w:fldCharType="separate"/>
          </w:r>
          <w:r>
            <w:rPr>
              <w:rStyle w:val="38"/>
              <w:rFonts w:eastAsia="仿宋"/>
              <w:bCs/>
            </w:rPr>
            <w:t>13. Artificial Intelligence</w:t>
          </w:r>
          <w:r>
            <w:tab/>
          </w:r>
          <w:r>
            <w:fldChar w:fldCharType="begin"/>
          </w:r>
          <w:r>
            <w:instrText xml:space="preserve"> PAGEREF _Toc163910360 \h </w:instrText>
          </w:r>
          <w:r>
            <w:fldChar w:fldCharType="separate"/>
          </w:r>
          <w:r>
            <w:t>87</w:t>
          </w:r>
          <w:r>
            <w:fldChar w:fldCharType="end"/>
          </w:r>
          <w:r>
            <w:fldChar w:fldCharType="end"/>
          </w:r>
        </w:p>
        <w:p w14:paraId="2917B514">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"_Toc163910365" </w:instrText>
          </w:r>
          <w:r>
            <w:fldChar w:fldCharType="separate"/>
          </w:r>
          <w:r>
            <w:rPr>
              <w:rStyle w:val="38"/>
              <w:rFonts w:eastAsia="仿宋"/>
              <w:bCs/>
            </w:rPr>
            <w:t>14. Life Engineering</w:t>
          </w:r>
          <w:r>
            <w:tab/>
          </w:r>
          <w:r>
            <w:fldChar w:fldCharType="begin"/>
          </w:r>
          <w:r>
            <w:instrText xml:space="preserve"> PAGEREF _Toc163910365 \h </w:instrText>
          </w:r>
          <w:r>
            <w:fldChar w:fldCharType="separate"/>
          </w:r>
          <w:r>
            <w:t>94</w:t>
          </w:r>
          <w:r>
            <w:fldChar w:fldCharType="end"/>
          </w:r>
          <w:r>
            <w:fldChar w:fldCharType="end"/>
          </w:r>
        </w:p>
        <w:p w14:paraId="48DF322D">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"_Toc163910370" </w:instrText>
          </w:r>
          <w:r>
            <w:fldChar w:fldCharType="separate"/>
          </w:r>
          <w:r>
            <w:rPr>
              <w:rStyle w:val="38"/>
              <w:rFonts w:eastAsia="仿宋"/>
              <w:bCs/>
            </w:rPr>
            <w:t>15. Quantum Technology</w:t>
          </w:r>
          <w:r>
            <w:tab/>
          </w:r>
          <w:r>
            <w:fldChar w:fldCharType="begin"/>
          </w:r>
          <w:r>
            <w:instrText xml:space="preserve"> PAGEREF _Toc163910370 \h </w:instrText>
          </w:r>
          <w:r>
            <w:fldChar w:fldCharType="separate"/>
          </w:r>
          <w:r>
            <w:t>99</w:t>
          </w:r>
          <w:r>
            <w:fldChar w:fldCharType="end"/>
          </w:r>
          <w:r>
            <w:fldChar w:fldCharType="end"/>
          </w:r>
        </w:p>
        <w:p w14:paraId="1F819BC0">
          <w:pPr>
            <w:pStyle w:val="24"/>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"_Toc163910375" </w:instrText>
          </w:r>
          <w:r>
            <w:fldChar w:fldCharType="separate"/>
          </w:r>
          <w:r>
            <w:rPr>
              <w:rStyle w:val="38"/>
              <w:rFonts w:eastAsia="仿宋"/>
              <w:bCs/>
            </w:rPr>
            <w:t>16. Cutting-edge Material</w:t>
          </w:r>
          <w:r>
            <w:tab/>
          </w:r>
          <w:r>
            <w:fldChar w:fldCharType="begin"/>
          </w:r>
          <w:r>
            <w:instrText xml:space="preserve"> PAGEREF _Toc163910375 \h </w:instrText>
          </w:r>
          <w:r>
            <w:fldChar w:fldCharType="separate"/>
          </w:r>
          <w:r>
            <w:t>105</w:t>
          </w:r>
          <w:r>
            <w:fldChar w:fldCharType="end"/>
          </w:r>
          <w:r>
            <w:fldChar w:fldCharType="end"/>
          </w:r>
        </w:p>
        <w:p w14:paraId="4497AAFF">
          <w:pPr>
            <w:pStyle w:val="21"/>
            <w:tabs>
              <w:tab w:val="right" w:leader="dot" w:pos="6221"/>
            </w:tabs>
            <w:ind w:firstLine="440"/>
            <w:rPr>
              <w:rFonts w:asciiTheme="minorHAnsi" w:hAnsiTheme="minorHAnsi" w:eastAsiaTheme="minorEastAsia" w:cstheme="minorBidi"/>
              <w:sz w:val="21"/>
              <w:szCs w:val="22"/>
            </w:rPr>
          </w:pPr>
          <w:r>
            <w:fldChar w:fldCharType="begin"/>
          </w:r>
          <w:r>
            <w:instrText xml:space="preserve"> HYPERLINK \l "_Toc163910380" </w:instrText>
          </w:r>
          <w:r>
            <w:fldChar w:fldCharType="separate"/>
          </w:r>
          <w:r>
            <w:rPr>
              <w:rStyle w:val="38"/>
              <w:rFonts w:eastAsia="仿宋"/>
              <w:b/>
              <w:bCs/>
            </w:rPr>
            <w:t>V. Contact List</w:t>
          </w:r>
          <w:r>
            <w:tab/>
          </w:r>
          <w:r>
            <w:fldChar w:fldCharType="begin"/>
          </w:r>
          <w:r>
            <w:instrText xml:space="preserve"> PAGEREF _Toc163910380 \h </w:instrText>
          </w:r>
          <w:r>
            <w:fldChar w:fldCharType="separate"/>
          </w:r>
          <w:r>
            <w:t>113</w:t>
          </w:r>
          <w:r>
            <w:fldChar w:fldCharType="end"/>
          </w:r>
          <w:r>
            <w:fldChar w:fldCharType="end"/>
          </w:r>
        </w:p>
        <w:p w14:paraId="121F1FB1">
          <w:pPr>
            <w:pStyle w:val="21"/>
            <w:tabs>
              <w:tab w:val="right" w:leader="dot" w:pos="6221"/>
            </w:tabs>
            <w:ind w:firstLine="0" w:firstLineChars="0"/>
          </w:pPr>
          <w:r>
            <w:rPr>
              <w:lang w:val="zh-CN"/>
            </w:rPr>
            <w:fldChar w:fldCharType="end"/>
          </w:r>
        </w:p>
      </w:sdtContent>
    </w:sdt>
    <w:p w14:paraId="4913F00F">
      <w:pPr>
        <w:tabs>
          <w:tab w:val="center" w:pos="4153"/>
          <w:tab w:val="right" w:pos="8306"/>
        </w:tabs>
        <w:snapToGrid w:val="0"/>
        <w:rPr>
          <w:rFonts w:ascii="Times New Roman" w:hAnsi="Times New Roman" w:cs="Times New Roman"/>
          <w:sz w:val="15"/>
          <w:szCs w:val="15"/>
          <w:lang w:val="it-IT"/>
        </w:rPr>
      </w:pPr>
    </w:p>
    <w:p w14:paraId="0E809005">
      <w:pPr>
        <w:snapToGrid w:val="0"/>
        <w:spacing w:line="360" w:lineRule="exact"/>
        <w:ind w:firstLine="400" w:firstLineChars="200"/>
        <w:rPr>
          <w:rFonts w:ascii="Times New Roman" w:hAnsi="Times New Roman" w:eastAsia="仿宋" w:cs="Times New Roman"/>
          <w:sz w:val="20"/>
          <w:szCs w:val="20"/>
          <w:lang w:val="it-IT"/>
        </w:rPr>
        <w:sectPr>
          <w:footerReference r:id="rId4" w:type="default"/>
          <w:pgSz w:w="8391" w:h="11907"/>
          <w:pgMar w:top="1440" w:right="1080" w:bottom="1440" w:left="1080" w:header="850" w:footer="992" w:gutter="0"/>
          <w:pgNumType w:fmt="lowerRoman" w:start="1"/>
          <w:cols w:space="720" w:num="1"/>
          <w:docGrid w:type="lines" w:linePitch="381" w:charSpace="0"/>
        </w:sectPr>
      </w:pPr>
    </w:p>
    <w:p w14:paraId="26316349">
      <w:pPr>
        <w:snapToGrid w:val="0"/>
        <w:spacing w:beforeLines="100" w:afterLines="50" w:line="360" w:lineRule="exact"/>
        <w:jc w:val="center"/>
        <w:outlineLvl w:val="0"/>
        <w:rPr>
          <w:rFonts w:ascii="Times New Roman" w:hAnsi="Times New Roman" w:eastAsia="仿宋" w:cs="Times New Roman"/>
          <w:b/>
          <w:bCs/>
          <w:sz w:val="28"/>
          <w:szCs w:val="28"/>
        </w:rPr>
      </w:pPr>
      <w:bookmarkStart w:id="1" w:name="_Toc163910295"/>
      <w:bookmarkStart w:id="2" w:name="_Toc131156265"/>
      <w:r>
        <w:rPr>
          <w:rFonts w:ascii="Times New Roman" w:hAnsi="Times New Roman" w:eastAsia="仿宋" w:cs="Times New Roman"/>
          <w:b/>
          <w:bCs/>
          <w:sz w:val="28"/>
          <w:szCs w:val="28"/>
        </w:rPr>
        <w:t>Preface</w:t>
      </w:r>
      <w:bookmarkEnd w:id="1"/>
    </w:p>
    <w:p w14:paraId="4D60786E">
      <w:pPr>
        <w:snapToGrid w:val="0"/>
        <w:spacing w:line="300" w:lineRule="exact"/>
        <w:ind w:firstLine="440" w:firstLineChars="200"/>
        <w:rPr>
          <w:rFonts w:hint="eastAsia" w:ascii="Times New Roman" w:hAnsi="Times New Roman" w:eastAsia="仿宋" w:cs="Times New Roman"/>
          <w:sz w:val="22"/>
        </w:rPr>
      </w:pPr>
      <w:r>
        <w:rPr>
          <w:rFonts w:ascii="Times New Roman" w:hAnsi="Times New Roman" w:eastAsia="仿宋" w:cs="Times New Roman"/>
          <w:sz w:val="22"/>
        </w:rPr>
        <w:t>In recent years, the CPC Hunan Provincial Committee and the People’s Government of Hunan Province have been earnestly implementing the spirit of the 20th National Congress of the Communist Party of China and the spirit of President Xi Jinping’s important speeches and instructions regarding Hunan’s work. With far-sighted vision, closely centering on the major national strategic deployment, they have deeply implemented the innovation-driven development strategy, continuously optimized the industrial structure, and accelerated the high-quality economic development, in an effort to strive for the realization of the beautiful blueprint of “Three Hubs and Four New Missions”.</w:t>
      </w:r>
    </w:p>
    <w:p w14:paraId="2FBF3A2D">
      <w:pPr>
        <w:snapToGrid w:val="0"/>
        <w:spacing w:line="300" w:lineRule="exact"/>
        <w:ind w:firstLine="440" w:firstLineChars="200"/>
        <w:rPr>
          <w:rFonts w:hint="eastAsia" w:ascii="Times New Roman" w:hAnsi="Times New Roman" w:eastAsia="仿宋" w:cs="Times New Roman"/>
          <w:sz w:val="22"/>
        </w:rPr>
      </w:pPr>
      <w:r>
        <w:rPr>
          <w:rFonts w:ascii="Times New Roman" w:hAnsi="Times New Roman" w:eastAsia="仿宋" w:cs="Times New Roman"/>
          <w:sz w:val="22"/>
        </w:rPr>
        <w:t>On October 18, 2023, the CPC Hunan Provincial Committee and the People’s Government of Hunan Province jointly issued the “Guidelines for Accelerating the Construction of a Modern Industrial System”</w:t>
      </w:r>
      <w:r>
        <w:rPr>
          <w:rFonts w:hint="eastAsia" w:ascii="Times New Roman" w:hAnsi="Times New Roman" w:eastAsia="仿宋" w:cs="Times New Roman"/>
          <w:sz w:val="22"/>
        </w:rPr>
        <w:t xml:space="preserve"> </w:t>
      </w:r>
      <w:r>
        <w:rPr>
          <w:rFonts w:ascii="Times New Roman" w:hAnsi="Times New Roman" w:eastAsia="仿宋" w:cs="Times New Roman"/>
          <w:sz w:val="22"/>
        </w:rPr>
        <w:t>(HNDRC〔2023〕No. 8), proposing to transform and upgrade four traditional industries, consolidate and extend four advantageous industries, cultivate and expand four emerging industries, and prospectively layout four future-oriented industries, aiming to construct the “four beams and eight pillars” of Hunan’s modern industrial system.</w:t>
      </w:r>
    </w:p>
    <w:p w14:paraId="3E7EC4DE">
      <w:pPr>
        <w:snapToGrid w:val="0"/>
        <w:spacing w:line="30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The putting forward of the “4×4” modern industrial system is precisely an important measure of Hunan Province on the path of industrial transformation and upgrading, aiming to enhance Hunan’s position in the global industrial chain and value chain by building a modern and high-end industrial system, and injecting new impetus into the economic and social development of the province.</w:t>
      </w:r>
    </w:p>
    <w:p w14:paraId="132D15E2">
      <w:pPr>
        <w:widowControl/>
        <w:snapToGrid w:val="0"/>
        <w:spacing w:beforeLines="100"/>
        <w:jc w:val="center"/>
        <w:rPr>
          <w:rFonts w:hint="eastAsia" w:ascii="Arial" w:hAnsi="Arial" w:eastAsia="仿宋" w:cs="Arial"/>
          <w:sz w:val="15"/>
          <w:lang w:val="sv-SE"/>
        </w:rPr>
      </w:pPr>
      <w:r>
        <w:object>
          <v:shape id="_x0000_i1025" o:spt="75" type="#_x0000_t75" style="height:407.55pt;width:311.1pt;" o:ole="t" filled="f" o:preferrelative="t" stroked="f" coordsize="21600,21600">
            <v:path/>
            <v:fill on="f" focussize="0,0"/>
            <v:stroke on="f" joinstyle="miter"/>
            <v:imagedata r:id="rId40" o:title=""/>
            <o:lock v:ext="edit" aspectratio="t"/>
            <w10:wrap type="none"/>
            <w10:anchorlock/>
          </v:shape>
          <o:OLEObject Type="Embed" ProgID="Visio.Drawing.15" ShapeID="_x0000_i1025" DrawAspect="Content" ObjectID="_1468075725" r:id="rId39">
            <o:LockedField>false</o:LockedField>
          </o:OLEObject>
        </w:object>
      </w:r>
      <w:r>
        <w:rPr>
          <w:rFonts w:ascii="Arial" w:hAnsi="Arial" w:eastAsia="仿宋" w:cs="Arial"/>
          <w:sz w:val="15"/>
          <w:lang w:val="sv-SE"/>
        </w:rPr>
        <w:t xml:space="preserve"> </w:t>
      </w:r>
    </w:p>
    <w:p w14:paraId="797CF815">
      <w:pPr>
        <w:widowControl/>
        <w:snapToGrid w:val="0"/>
        <w:spacing w:beforeLines="20" w:afterLines="20"/>
        <w:jc w:val="center"/>
        <w:rPr>
          <w:rFonts w:ascii="Arial" w:hAnsi="Arial" w:eastAsia="仿宋" w:cs="Arial"/>
          <w:sz w:val="15"/>
          <w:lang w:val="sv-SE"/>
        </w:rPr>
      </w:pPr>
      <w:r>
        <w:rPr>
          <w:rFonts w:ascii="Arial" w:hAnsi="Arial" w:eastAsia="仿宋" w:cs="Arial"/>
          <w:sz w:val="15"/>
          <w:lang w:val="sv-SE"/>
        </w:rPr>
        <w:t>The “4x4” modern industrial system in Hunan</w:t>
      </w:r>
    </w:p>
    <w:p w14:paraId="3296A2C4">
      <w:pPr>
        <w:snapToGrid w:val="0"/>
        <w:spacing w:line="32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 xml:space="preserve">The compilation of this investment </w:t>
      </w:r>
      <w:r>
        <w:rPr>
          <w:rFonts w:hint="eastAsia" w:ascii="Times New Roman" w:hAnsi="Times New Roman" w:eastAsia="仿宋" w:cs="Times New Roman"/>
          <w:sz w:val="22"/>
        </w:rPr>
        <w:t>p</w:t>
      </w:r>
      <w:r>
        <w:rPr>
          <w:rFonts w:ascii="Times New Roman" w:hAnsi="Times New Roman" w:eastAsia="仿宋" w:cs="Times New Roman"/>
          <w:sz w:val="22"/>
        </w:rPr>
        <w:t>romotion brochure is aimed at presenting the unique charm and tremendous potential of Hunan’s “4×4” modern industrial system to the vast number of investors. We hope that through this brochure, more people will understand Hunan, pay attention to Hunan, and invest in Hunan. We firmly believe that with the continuous improvement and development of the“4×4” modern industrial system, Hunan will become a hot land attracting domestic and foreign investors and an important force promoting the high-quality development of China's economy.</w:t>
      </w:r>
    </w:p>
    <w:p w14:paraId="32AADBFB">
      <w:pPr>
        <w:snapToGrid w:val="0"/>
        <w:spacing w:line="32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This brochure generally covers all aspects of Hunan’s “4×4”modern industrial system, briefly introducing the current development status, development goals, relevant policies, investment directions, industrial layouts, and relevant contact information of the related industries. We hope that through the introduction of these contents, we can provide comprehensive and accurate information for investors at home and abroad, helping everyone better understand the current situation and future trend of Hunan's industrial development and finding investment and cooperation opportunities, thereby making wise investment decisions.</w:t>
      </w:r>
    </w:p>
    <w:p w14:paraId="1FAE0E58">
      <w:pPr>
        <w:snapToGrid w:val="0"/>
        <w:spacing w:line="320" w:lineRule="exact"/>
        <w:ind w:firstLine="440" w:firstLineChars="200"/>
        <w:rPr>
          <w:rFonts w:ascii="Arial" w:hAnsi="Arial" w:eastAsia="仿宋" w:cs="Arial"/>
          <w:sz w:val="20"/>
          <w:szCs w:val="20"/>
        </w:rPr>
      </w:pPr>
      <w:r>
        <w:rPr>
          <w:rFonts w:ascii="Times New Roman" w:hAnsi="Times New Roman" w:eastAsia="仿宋" w:cs="Times New Roman"/>
          <w:sz w:val="22"/>
        </w:rPr>
        <w:t>We sincerely invite the vast number of investors to come to Hunan for inspection, investment, and business establishment, and jointly create a bright future for Hunan’s “4×4” modern industrial system. We firmly believe that with the joint efforts of all parties, Hunan’s tomorrow will be even more beautiful and glorious!</w:t>
      </w:r>
      <w:r>
        <w:rPr>
          <w:rFonts w:ascii="Arial" w:hAnsi="Arial" w:eastAsia="仿宋" w:cs="Arial"/>
          <w:sz w:val="20"/>
          <w:szCs w:val="21"/>
          <w:lang w:val="sv-SE"/>
        </w:rPr>
        <w:br w:type="page"/>
      </w:r>
    </w:p>
    <w:p w14:paraId="2FA58BF0">
      <w:pPr>
        <w:snapToGrid w:val="0"/>
        <w:spacing w:afterLines="100" w:line="360" w:lineRule="exact"/>
        <w:jc w:val="center"/>
        <w:outlineLvl w:val="0"/>
        <w:rPr>
          <w:rFonts w:ascii="Times New Roman" w:hAnsi="Times New Roman" w:eastAsia="仿宋" w:cs="Times New Roman"/>
          <w:b/>
          <w:bCs/>
          <w:sz w:val="28"/>
          <w:szCs w:val="28"/>
        </w:rPr>
      </w:pPr>
      <w:bookmarkStart w:id="3" w:name="_Toc163910296"/>
      <w:r>
        <w:rPr>
          <w:rFonts w:ascii="Times New Roman" w:hAnsi="Times New Roman" w:eastAsia="仿宋" w:cs="Times New Roman"/>
          <w:b/>
          <w:bCs/>
          <w:sz w:val="28"/>
          <w:szCs w:val="28"/>
        </w:rPr>
        <w:t>I. Traditional Industries</w:t>
      </w:r>
      <w:bookmarkEnd w:id="3"/>
    </w:p>
    <w:bookmarkEnd w:id="2"/>
    <w:p w14:paraId="7B776B0C">
      <w:pPr>
        <w:keepNext/>
        <w:snapToGrid w:val="0"/>
        <w:spacing w:line="360" w:lineRule="exact"/>
        <w:jc w:val="center"/>
        <w:outlineLvl w:val="1"/>
        <w:rPr>
          <w:rFonts w:ascii="Times New Roman" w:hAnsi="Times New Roman" w:eastAsia="仿宋" w:cs="Times New Roman"/>
          <w:b/>
          <w:bCs/>
          <w:sz w:val="22"/>
          <w:szCs w:val="24"/>
        </w:rPr>
      </w:pPr>
      <w:bookmarkStart w:id="4" w:name="_Toc163910297"/>
      <w:bookmarkStart w:id="5" w:name="_Toc24650"/>
      <w:bookmarkStart w:id="6" w:name="_Toc129010558"/>
      <w:bookmarkStart w:id="7" w:name="_Toc129701352"/>
      <w:bookmarkStart w:id="8" w:name="_Toc128033702"/>
      <w:bookmarkStart w:id="9" w:name="_Toc128041734"/>
      <w:bookmarkStart w:id="10" w:name="_Toc130669135"/>
      <w:bookmarkStart w:id="11" w:name="_Toc130837903"/>
      <w:bookmarkStart w:id="12" w:name="_Toc130837006"/>
      <w:bookmarkStart w:id="13" w:name="_Toc131156266"/>
      <w:r>
        <w:rPr>
          <w:rFonts w:ascii="Times New Roman" w:hAnsi="Times New Roman" w:eastAsia="仿宋" w:cs="Times New Roman"/>
          <w:b/>
          <w:bCs/>
          <w:sz w:val="22"/>
          <w:szCs w:val="24"/>
        </w:rPr>
        <w:t>1. Modern Petrochemicals</w:t>
      </w:r>
      <w:bookmarkEnd w:id="4"/>
    </w:p>
    <w:bookmarkEnd w:id="5"/>
    <w:bookmarkEnd w:id="6"/>
    <w:bookmarkEnd w:id="7"/>
    <w:bookmarkEnd w:id="8"/>
    <w:bookmarkEnd w:id="9"/>
    <w:bookmarkEnd w:id="10"/>
    <w:bookmarkEnd w:id="11"/>
    <w:bookmarkEnd w:id="12"/>
    <w:bookmarkEnd w:id="13"/>
    <w:p w14:paraId="58274807">
      <w:pPr>
        <w:keepNext/>
        <w:snapToGrid w:val="0"/>
        <w:spacing w:line="360" w:lineRule="exact"/>
        <w:ind w:firstLine="442" w:firstLineChars="200"/>
        <w:outlineLvl w:val="2"/>
        <w:rPr>
          <w:rFonts w:ascii="Times New Roman" w:hAnsi="Times New Roman" w:eastAsia="黑体" w:cs="Times New Roman"/>
          <w:b/>
          <w:sz w:val="22"/>
        </w:rPr>
      </w:pPr>
      <w:bookmarkStart w:id="14" w:name="_Toc163910298"/>
      <w:r>
        <w:rPr>
          <w:rFonts w:ascii="Times New Roman" w:hAnsi="Times New Roman" w:eastAsia="黑体" w:cs="Times New Roman"/>
          <w:b/>
          <w:sz w:val="22"/>
          <w:szCs w:val="24"/>
        </w:rPr>
        <w:t>(1) Development Status</w:t>
      </w:r>
      <w:bookmarkEnd w:id="14"/>
    </w:p>
    <w:p w14:paraId="513207B2">
      <w:pPr>
        <w:snapToGrid w:val="0"/>
        <w:spacing w:line="360" w:lineRule="exact"/>
        <w:ind w:firstLine="440" w:firstLineChars="200"/>
        <w:rPr>
          <w:rFonts w:ascii="Times New Roman" w:hAnsi="Times New Roman" w:eastAsia="仿宋" w:cs="Times New Roman"/>
          <w:sz w:val="22"/>
        </w:rPr>
      </w:pPr>
      <w:r>
        <w:rPr>
          <w:rFonts w:hint="eastAsia" w:ascii="Times New Roman" w:hAnsi="Times New Roman" w:eastAsia="仿宋" w:cs="Times New Roman"/>
          <w:sz w:val="22"/>
          <w:szCs w:val="24"/>
        </w:rPr>
        <w:t>Hunan's modern petrochemical industry has established a complete industrial system, distinctive features, and strong technological innovation capabilities. In 2024, the revenue of the provincial modern petrochemical industry chain reached 222.66 billion yuan, a year-on-year increase of 2.7% . The industry's core competitiveness continues to strengthen: it has built the largest and most comprehensive oil-refining catalyst production base in Asia ; its lithium-based polymer production capacity ranks first in Asia; products like epoxycyclohexane and n-pentanol maintain a leading market share both domestically and internationally; advanced coatings are among the top performers nationally; and highly effective, low-toxicity pesticide products sell well globally.</w:t>
      </w:r>
    </w:p>
    <w:p w14:paraId="4DFAB3B8">
      <w:pPr>
        <w:snapToGrid w:val="0"/>
        <w:rPr>
          <w:rFonts w:ascii="Times New Roman" w:hAnsi="Times New Roman" w:eastAsia="仿宋" w:cs="Times New Roman"/>
          <w:sz w:val="20"/>
          <w:szCs w:val="21"/>
        </w:rPr>
      </w:pPr>
      <w:r>
        <w:drawing>
          <wp:inline distT="0" distB="0" distL="0" distR="0">
            <wp:extent cx="3998595" cy="2183765"/>
            <wp:effectExtent l="0" t="0" r="1905"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4000256" cy="2184563"/>
                    </a:xfrm>
                    <a:prstGeom prst="rect">
                      <a:avLst/>
                    </a:prstGeom>
                    <a:noFill/>
                    <a:ln>
                      <a:noFill/>
                    </a:ln>
                  </pic:spPr>
                </pic:pic>
              </a:graphicData>
            </a:graphic>
          </wp:inline>
        </w:drawing>
      </w:r>
    </w:p>
    <w:p w14:paraId="58497F25">
      <w:pPr>
        <w:snapToGrid w:val="0"/>
        <w:spacing w:beforeLines="20"/>
        <w:jc w:val="center"/>
        <w:rPr>
          <w:rFonts w:ascii="Times New Roman" w:hAnsi="Times New Roman" w:eastAsia="仿宋" w:cs="Times New Roman"/>
          <w:sz w:val="18"/>
          <w:szCs w:val="20"/>
        </w:rPr>
      </w:pPr>
      <w:r>
        <w:rPr>
          <w:rFonts w:ascii="Times New Roman" w:hAnsi="Times New Roman" w:eastAsia="仿宋" w:cs="Times New Roman"/>
          <w:sz w:val="18"/>
          <w:szCs w:val="20"/>
        </w:rPr>
        <w:t>Leading companies in modern petrochemicals</w:t>
      </w:r>
    </w:p>
    <w:p w14:paraId="6AF7CCBD">
      <w:pPr>
        <w:snapToGrid w:val="0"/>
        <w:spacing w:line="360" w:lineRule="exact"/>
        <w:ind w:firstLine="440" w:firstLineChars="200"/>
        <w:rPr>
          <w:rFonts w:ascii="Times New Roman" w:hAnsi="Times New Roman" w:eastAsia="仿宋" w:cs="Times New Roman"/>
          <w:sz w:val="20"/>
          <w:szCs w:val="21"/>
        </w:rPr>
      </w:pPr>
      <w:r>
        <w:rPr>
          <w:rFonts w:ascii="Times New Roman" w:hAnsi="Times New Roman" w:eastAsia="仿宋" w:cs="Times New Roman"/>
          <w:sz w:val="22"/>
          <w:szCs w:val="24"/>
        </w:rPr>
        <w:t>Yueyang stands as Central South China’s largest chemical industry base, with major projects like the annual production of one million tons of integrated ethylene refining and chemical engineering underway. Hengyang serves as the largest halite mining area to the south of the Yangtze River, boasting production capacity for over 400 products, including Chlor-alkali, salt (nitrate), and aluminum/iron salt.</w:t>
      </w:r>
    </w:p>
    <w:p w14:paraId="59210102">
      <w:pPr>
        <w:keepNext/>
        <w:snapToGrid w:val="0"/>
        <w:spacing w:beforeLines="50" w:line="360" w:lineRule="exact"/>
        <w:ind w:firstLine="442" w:firstLineChars="200"/>
        <w:outlineLvl w:val="2"/>
        <w:rPr>
          <w:rFonts w:ascii="Times New Roman" w:hAnsi="Times New Roman" w:eastAsia="黑体" w:cs="Times New Roman"/>
          <w:b/>
          <w:sz w:val="22"/>
          <w:szCs w:val="24"/>
        </w:rPr>
      </w:pPr>
      <w:bookmarkStart w:id="15" w:name="_Toc163910299"/>
      <w:r>
        <w:rPr>
          <w:rFonts w:ascii="Times New Roman" w:hAnsi="Times New Roman" w:eastAsia="黑体" w:cs="Times New Roman"/>
          <w:b/>
          <w:sz w:val="22"/>
          <w:szCs w:val="24"/>
        </w:rPr>
        <w:t>(2) Development Target</w:t>
      </w:r>
      <w:bookmarkEnd w:id="15"/>
    </w:p>
    <w:p w14:paraId="6706E2BE">
      <w:pPr>
        <w:snapToGrid w:val="0"/>
        <w:spacing w:line="360" w:lineRule="exact"/>
        <w:ind w:firstLine="440" w:firstLineChars="200"/>
        <w:rPr>
          <w:rFonts w:ascii="Times New Roman" w:hAnsi="Times New Roman" w:eastAsia="仿宋" w:cs="Times New Roman"/>
          <w:sz w:val="22"/>
          <w:szCs w:val="24"/>
        </w:rPr>
      </w:pPr>
      <w:r>
        <w:rPr>
          <w:rFonts w:ascii="Times New Roman" w:hAnsi="Times New Roman" w:eastAsia="仿宋" w:cs="Times New Roman"/>
          <w:sz w:val="22"/>
          <w:szCs w:val="24"/>
        </w:rPr>
        <w:t>By 2027, the petrochemical industry will achieve an output value of over 410 billion yuan, and nurture at least five leading enterprises with an annual output exceeding 10 billion yuan each, building Hunan into an innovation demonstration hub for the industry in central China.</w:t>
      </w:r>
    </w:p>
    <w:p w14:paraId="2BC62057">
      <w:pPr>
        <w:keepNext/>
        <w:snapToGrid w:val="0"/>
        <w:spacing w:beforeLines="50" w:line="360" w:lineRule="exact"/>
        <w:ind w:firstLine="442" w:firstLineChars="200"/>
        <w:outlineLvl w:val="2"/>
        <w:rPr>
          <w:rFonts w:ascii="Times New Roman" w:hAnsi="Times New Roman" w:eastAsia="黑体" w:cs="Times New Roman"/>
          <w:b/>
          <w:sz w:val="22"/>
          <w:szCs w:val="24"/>
        </w:rPr>
      </w:pPr>
      <w:bookmarkStart w:id="16" w:name="_Toc130669137"/>
      <w:bookmarkStart w:id="17" w:name="_Toc131156268"/>
      <w:bookmarkStart w:id="18" w:name="_Toc128033704"/>
      <w:bookmarkStart w:id="19" w:name="_Toc128041736"/>
      <w:bookmarkStart w:id="20" w:name="_Toc130837905"/>
      <w:bookmarkStart w:id="21" w:name="_Toc5991"/>
      <w:bookmarkStart w:id="22" w:name="_Toc129701354"/>
      <w:bookmarkStart w:id="23" w:name="_Toc129010560"/>
      <w:bookmarkStart w:id="24" w:name="_Toc130837008"/>
      <w:bookmarkStart w:id="25" w:name="_Toc163910300"/>
      <w:r>
        <w:rPr>
          <w:rFonts w:hint="eastAsia" w:ascii="Times New Roman" w:hAnsi="Times New Roman" w:eastAsia="黑体" w:cs="Times New Roman"/>
          <w:b/>
          <w:sz w:val="22"/>
          <w:szCs w:val="24"/>
        </w:rPr>
        <w:t xml:space="preserve">(3) </w:t>
      </w:r>
      <w:r>
        <w:rPr>
          <w:rFonts w:ascii="Times New Roman" w:hAnsi="Times New Roman" w:eastAsia="黑体" w:cs="Times New Roman"/>
          <w:b/>
          <w:sz w:val="22"/>
          <w:szCs w:val="24"/>
        </w:rPr>
        <w:t>Policy Support</w:t>
      </w:r>
      <w:bookmarkEnd w:id="16"/>
      <w:bookmarkEnd w:id="17"/>
      <w:bookmarkEnd w:id="18"/>
      <w:bookmarkEnd w:id="19"/>
      <w:bookmarkEnd w:id="20"/>
      <w:bookmarkEnd w:id="21"/>
      <w:bookmarkEnd w:id="22"/>
      <w:bookmarkEnd w:id="23"/>
      <w:bookmarkEnd w:id="24"/>
      <w:bookmarkEnd w:id="25"/>
    </w:p>
    <w:p w14:paraId="39AB8BA4">
      <w:pPr>
        <w:pStyle w:val="85"/>
        <w:numPr>
          <w:ilvl w:val="0"/>
          <w:numId w:val="3"/>
        </w:numPr>
        <w:ind w:left="426" w:hanging="142" w:firstLineChars="0"/>
        <w:rPr>
          <w:i/>
          <w:iCs/>
        </w:rPr>
      </w:pPr>
      <w:r>
        <w:rPr>
          <w:i/>
          <w:iCs/>
        </w:rPr>
        <w:t>Five-Year Action Plan for New Chemical Materials Industry Chain in Hunan Province (2021-2025)</w:t>
      </w:r>
    </w:p>
    <w:p w14:paraId="63B96B45">
      <w:pPr>
        <w:pStyle w:val="85"/>
        <w:numPr>
          <w:ilvl w:val="0"/>
          <w:numId w:val="3"/>
        </w:numPr>
        <w:ind w:left="426" w:hanging="142" w:firstLineChars="0"/>
        <w:rPr>
          <w:i/>
          <w:iCs/>
        </w:rPr>
      </w:pPr>
      <w:r>
        <w:rPr>
          <w:i/>
          <w:iCs/>
        </w:rPr>
        <w:t>14th Five-Year Plan for the Petrochemical Industry in Hunan Province</w:t>
      </w:r>
    </w:p>
    <w:p w14:paraId="1AEEB7E2">
      <w:pPr>
        <w:pStyle w:val="85"/>
        <w:numPr>
          <w:ilvl w:val="0"/>
          <w:numId w:val="3"/>
        </w:numPr>
        <w:ind w:left="426" w:hanging="142" w:firstLineChars="0"/>
        <w:rPr>
          <w:i/>
          <w:iCs/>
        </w:rPr>
      </w:pPr>
      <w:r>
        <w:rPr>
          <w:i/>
          <w:iCs/>
        </w:rPr>
        <w:t>Management Measures for Construction Standards and Accreditation of Chemical Industrial Parks in Hunan Province</w:t>
      </w:r>
    </w:p>
    <w:p w14:paraId="0473615D">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60288" behindDoc="0" locked="0" layoutInCell="1" allowOverlap="1">
                <wp:simplePos x="0" y="0"/>
                <wp:positionH relativeFrom="margin">
                  <wp:posOffset>3012440</wp:posOffset>
                </wp:positionH>
                <wp:positionV relativeFrom="margin">
                  <wp:posOffset>4418330</wp:posOffset>
                </wp:positionV>
                <wp:extent cx="956945" cy="1047750"/>
                <wp:effectExtent l="6350" t="6350" r="12065" b="12700"/>
                <wp:wrapSquare wrapText="bothSides"/>
                <wp:docPr id="4" name="文本框 8"/>
                <wp:cNvGraphicFramePr/>
                <a:graphic xmlns:a="http://schemas.openxmlformats.org/drawingml/2006/main">
                  <a:graphicData uri="http://schemas.microsoft.com/office/word/2010/wordprocessingShape">
                    <wps:wsp>
                      <wps:cNvSpPr txBox="1"/>
                      <wps:spPr>
                        <a:xfrm>
                          <a:off x="0" y="0"/>
                          <a:ext cx="956945" cy="1047750"/>
                        </a:xfrm>
                        <a:prstGeom prst="rect">
                          <a:avLst/>
                        </a:prstGeom>
                        <a:noFill/>
                        <a:ln w="12700" cap="flat" cmpd="sng">
                          <a:solidFill>
                            <a:srgbClr val="A8D08D"/>
                          </a:solidFill>
                          <a:prstDash val="solid"/>
                          <a:miter/>
                          <a:headEnd type="none" w="med" len="med"/>
                          <a:tailEnd type="none" w="med" len="med"/>
                        </a:ln>
                      </wps:spPr>
                      <wps:txbx>
                        <w:txbxContent>
                          <w:p w14:paraId="2A61B1B3">
                            <w:pPr>
                              <w:pStyle w:val="92"/>
                              <w:adjustRightInd w:val="0"/>
                            </w:pPr>
                            <w:r>
                              <w:drawing>
                                <wp:inline distT="0" distB="0" distL="0" distR="0">
                                  <wp:extent cx="765175" cy="7651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2">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65175" cy="765175"/>
                                          </a:xfrm>
                                          <a:prstGeom prst="rect">
                                            <a:avLst/>
                                          </a:prstGeom>
                                        </pic:spPr>
                                      </pic:pic>
                                    </a:graphicData>
                                  </a:graphic>
                                </wp:inline>
                              </w:drawing>
                            </w:r>
                          </w:p>
                          <w:p w14:paraId="588BE1D9">
                            <w:pPr>
                              <w:pStyle w:val="92"/>
                              <w:adjustRightInd w:val="0"/>
                              <w:jc w:val="both"/>
                              <w:rPr>
                                <w:rFonts w:ascii="Arial" w:hAnsi="Arial" w:cs="Arial"/>
                                <w:color w:val="595959"/>
                                <w:sz w:val="13"/>
                              </w:rPr>
                            </w:pPr>
                            <w:r>
                              <w:rPr>
                                <w:rFonts w:ascii="Arial" w:hAnsi="Arial" w:cs="Arial"/>
                                <w:color w:val="595959"/>
                                <w:sz w:val="13"/>
                              </w:rPr>
                              <w:t>Policy Compendium</w:t>
                            </w:r>
                          </w:p>
                        </w:txbxContent>
                      </wps:txbx>
                      <wps:bodyPr upright="1"/>
                    </wps:wsp>
                  </a:graphicData>
                </a:graphic>
              </wp:anchor>
            </w:drawing>
          </mc:Choice>
          <mc:Fallback>
            <w:pict>
              <v:shape id="文本框 8" o:spid="_x0000_s1026" o:spt="202" type="#_x0000_t202" style="position:absolute;left:0pt;margin-left:237.2pt;margin-top:347.9pt;height:82.5pt;width:75.35pt;mso-position-horizontal-relative:margin;mso-position-vertical-relative:margin;mso-wrap-distance-bottom:0pt;mso-wrap-distance-left:9pt;mso-wrap-distance-right:9pt;mso-wrap-distance-top:0pt;z-index:2516602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">
                <v:fill on="f" focussize="0,0"/>
                <v:stroke weight="1pt" color="#A8D08D" joinstyle="miter"/>
                <v:imagedata o:title=""/>
                <o:lock v:ext="edit" aspectratio="f"/>
                <v:textbox>
                  <w:txbxContent>
                    <w:p w14:paraId="2A61B1B3">
                      <w:pPr>
                        <w:pStyle w:val="92"/>
                        <w:adjustRightInd w:val="0"/>
                      </w:pPr>
                      <w:r>
                        <w:drawing>
                          <wp:inline distT="0" distB="0" distL="0" distR="0">
                            <wp:extent cx="765175" cy="7651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2">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65175" cy="765175"/>
                                    </a:xfrm>
                                    <a:prstGeom prst="rect">
                                      <a:avLst/>
                                    </a:prstGeom>
                                  </pic:spPr>
                                </pic:pic>
                              </a:graphicData>
                            </a:graphic>
                          </wp:inline>
                        </w:drawing>
                      </w:r>
                    </w:p>
                    <w:p w14:paraId="588BE1D9">
                      <w:pPr>
                        <w:pStyle w:val="92"/>
                        <w:adjustRightInd w:val="0"/>
                        <w:jc w:val="both"/>
                        <w:rPr>
                          <w:rFonts w:ascii="Arial" w:hAnsi="Arial" w:cs="Arial"/>
                          <w:color w:val="595959"/>
                          <w:sz w:val="13"/>
                        </w:rPr>
                      </w:pPr>
                      <w:r>
                        <w:rPr>
                          <w:rFonts w:ascii="Arial" w:hAnsi="Arial" w:cs="Arial"/>
                          <w:color w:val="595959"/>
                          <w:sz w:val="13"/>
                        </w:rPr>
                        <w:t>Policy Compendium</w:t>
                      </w:r>
                    </w:p>
                  </w:txbxContent>
                </v:textbox>
                <w10:wrap type="square"/>
              </v:shape>
            </w:pict>
          </mc:Fallback>
        </mc:AlternateContent>
      </w:r>
      <w:r>
        <w:rPr>
          <w:i/>
          <w:iCs/>
        </w:rPr>
        <w:t>Regulations on Promoting Advanced Manufacturing Industry in Hunan Province</w:t>
      </w:r>
    </w:p>
    <w:p w14:paraId="0BB684F7">
      <w:pPr>
        <w:pStyle w:val="85"/>
        <w:numPr>
          <w:ilvl w:val="0"/>
          <w:numId w:val="3"/>
        </w:numPr>
        <w:ind w:left="426" w:hanging="142" w:firstLineChars="0"/>
        <w:rPr>
          <w:i/>
          <w:iCs/>
        </w:rPr>
      </w:pPr>
      <w:r>
        <w:rPr>
          <w:i/>
          <w:iCs/>
        </w:rPr>
        <w:t>Policy Measures to Support the Development of Advanced Manufacturing Industry Supply Chain</w:t>
      </w:r>
    </w:p>
    <w:p w14:paraId="0505EAAD">
      <w:pPr>
        <w:pStyle w:val="85"/>
        <w:numPr>
          <w:ilvl w:val="0"/>
          <w:numId w:val="3"/>
        </w:numPr>
        <w:ind w:left="426" w:hanging="142" w:firstLineChars="0"/>
        <w:rPr>
          <w:i/>
          <w:iCs/>
        </w:rPr>
      </w:pPr>
      <w:r>
        <w:rPr>
          <w:i/>
          <w:iCs/>
        </w:rPr>
        <w:t>Implementation Rules on Policy Measures to Support the Development of Advanced Manufacturing Industry Supply Chain</w:t>
      </w:r>
    </w:p>
    <w:p w14:paraId="4907B454">
      <w:pPr>
        <w:pStyle w:val="85"/>
        <w:numPr>
          <w:ilvl w:val="0"/>
          <w:numId w:val="3"/>
        </w:numPr>
        <w:ind w:left="426" w:hanging="142" w:firstLineChars="0"/>
        <w:rPr>
          <w:i/>
          <w:iCs/>
        </w:rPr>
      </w:pPr>
      <w:r>
        <w:rPr>
          <w:i/>
          <w:iCs/>
        </w:rPr>
        <w:t>Fiscal Support Policy for Establishing a Hub of Advanced Manufacturing Industry of National Importance in Hunan Province</w:t>
      </w:r>
    </w:p>
    <w:p w14:paraId="3D5BA064">
      <w:pPr>
        <w:pStyle w:val="85"/>
        <w:numPr>
          <w:ilvl w:val="0"/>
          <w:numId w:val="3"/>
        </w:numPr>
        <w:ind w:left="426" w:hanging="142" w:firstLineChars="0"/>
        <w:rPr>
          <w:i/>
          <w:iCs/>
        </w:rPr>
      </w:pPr>
      <w:r>
        <w:rPr>
          <w:i/>
          <w:iCs/>
        </w:rPr>
        <w:t>Policy Measures to Further Strengthen Investment Promotion in Hunan Province</w:t>
      </w:r>
    </w:p>
    <w:p w14:paraId="541C13A4">
      <w:pPr>
        <w:pStyle w:val="85"/>
        <w:ind w:left="426" w:firstLine="0" w:firstLineChars="0"/>
        <w:rPr>
          <w:iCs/>
        </w:rPr>
      </w:pPr>
      <w:r>
        <w:rPr>
          <w:iCs/>
        </w:rPr>
        <mc:AlternateContent>
          <mc:Choice Requires="wps">
            <w:drawing>
              <wp:anchor distT="0" distB="0" distL="114300" distR="114300" simplePos="0" relativeHeight="251659264" behindDoc="0" locked="0" layoutInCell="1" allowOverlap="1">
                <wp:simplePos x="0" y="0"/>
                <wp:positionH relativeFrom="column">
                  <wp:posOffset>190500</wp:posOffset>
                </wp:positionH>
                <wp:positionV relativeFrom="paragraph">
                  <wp:posOffset>176530</wp:posOffset>
                </wp:positionV>
                <wp:extent cx="3805555" cy="3081020"/>
                <wp:effectExtent l="6350" t="175895" r="13335" b="19685"/>
                <wp:wrapNone/>
                <wp:docPr id="1" name="矩形标注 3"/>
                <wp:cNvGraphicFramePr/>
                <a:graphic xmlns:a="http://schemas.openxmlformats.org/drawingml/2006/main">
                  <a:graphicData uri="http://schemas.microsoft.com/office/word/2010/wordprocessingShape">
                    <wps:wsp>
                      <wps:cNvSpPr/>
                      <wps:spPr>
                        <a:xfrm>
                          <a:off x="0" y="0"/>
                          <a:ext cx="3805555" cy="3081020"/>
                        </a:xfrm>
                        <a:prstGeom prst="wedgeRectCallout">
                          <a:avLst>
                            <a:gd name="adj1" fmla="val -45880"/>
                            <a:gd name="adj2" fmla="val -55319"/>
                          </a:avLst>
                        </a:prstGeom>
                        <a:solidFill>
                          <a:srgbClr val="E2EFD9"/>
                        </a:solidFill>
                        <a:ln w="12700" cap="flat" cmpd="sng">
                          <a:solidFill>
                            <a:srgbClr val="A8D08D"/>
                          </a:solidFill>
                          <a:prstDash val="solid"/>
                          <a:miter/>
                          <a:headEnd type="none" w="med" len="med"/>
                          <a:tailEnd type="none" w="med" len="med"/>
                        </a:ln>
                      </wps:spPr>
                      <wps:txbx>
                        <w:txbxContent>
                          <w:p w14:paraId="7C1D5FFB">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60AF9FA9">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Fiscal Support:</w:t>
                            </w:r>
                            <w:r>
                              <w:rPr>
                                <w:rFonts w:ascii="Times New Roman" w:hAnsi="Times New Roman" w:cs="Times New Roman"/>
                                <w:color w:val="3F3F3F" w:themeColor="text1" w:themeTint="BF"/>
                                <w:sz w:val="18"/>
                                <w:szCs w:val="18"/>
                              </w:rPr>
                              <w:t xml:space="preserve"> Major foreign-funded projects (excluding real estate) and domestic advanced manufacturing projects are eligible for a reward up to 20 million yuan. Central SOEs establishing headquarters in or relocating headquarters to Hunan are eligible for a package of support on a case-by-case basis. Central SOE’s primary subsidiaries established in Hunan or relocated from other provinces to Hunan are eligible for a reward up to 10 million yuan, and secondary subsidiaries are eligible for up to 5 million yuan. “Top 500 Chinese Enterprises in Three Categories” establishing headquarters in Hunan are eligible for a reward up to 10 million yuan. Other significant foreign-funded or key investment projects identified by the MOFCOM or Hunan Province are eligible for a reward up to 10 million yuan. Enterprises are encouraged to establish research and development or innovation centers in Hunan; the centers recognized by departments at the provincial level or above are eligible for a reward up to 5 million yuan.</w:t>
                            </w:r>
                          </w:p>
                          <w:p w14:paraId="19F6B3DF">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Land Support: </w:t>
                            </w:r>
                            <w:r>
                              <w:rPr>
                                <w:rFonts w:ascii="Times New Roman" w:hAnsi="Times New Roman" w:cs="Times New Roman"/>
                                <w:color w:val="3F3F3F" w:themeColor="text1" w:themeTint="BF"/>
                                <w:sz w:val="18"/>
                                <w:szCs w:val="18"/>
                              </w:rPr>
                              <w:t>Projects meeting the National Catalog of Preferred Industries for Foreign Investment and Catalog of Advantageous Industries for Foreign Investment in Central and Western China (Hunan) are eligible for land support. Projects on the List of Key Investment Projects can enjoy increased support in land, environmental protection, energy, finance, human resources, and facilitation of entry and exit.</w:t>
                            </w:r>
                          </w:p>
                        </w:txbxContent>
                      </wps:txbx>
                      <wps:bodyPr anchor="ctr" anchorCtr="0" upright="1"/>
                    </wps:wsp>
                  </a:graphicData>
                </a:graphic>
              </wp:anchor>
            </w:drawing>
          </mc:Choice>
          <mc:Fallback>
            <w:pict>
              <v:shape id="矩形标注 3" o:spid="_x0000_s1026" o:spt="61" type="#_x0000_t61" style="position:absolute;left:0pt;margin-left:15pt;margin-top:13.9pt;height:242.6pt;width:299.65pt;z-index:251659264;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" adj="890,-1149">
                <v:fill on="t" focussize="0,0"/>
                <v:stroke weight="1pt" color="#A8D08D" joinstyle="miter"/>
                <v:imagedata o:title=""/>
                <o:lock v:ext="edit" aspectratio="f"/>
                <v:textbox>
                  <w:txbxContent>
                    <w:p w14:paraId="7C1D5FFB">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60AF9FA9">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Fiscal Support:</w:t>
                      </w:r>
                      <w:r>
                        <w:rPr>
                          <w:rFonts w:ascii="Times New Roman" w:hAnsi="Times New Roman" w:cs="Times New Roman"/>
                          <w:color w:val="3F3F3F" w:themeColor="text1" w:themeTint="BF"/>
                          <w:sz w:val="18"/>
                          <w:szCs w:val="18"/>
                        </w:rPr>
                        <w:t xml:space="preserve"> Major foreign-funded projects (excluding real estate) and domestic advanced manufacturing projects are eligible for a reward up to 20 million yuan. Central SOEs establishing headquarters in or relocating headquarters to Hunan are eligible for a package of support on a case-by-case basis. Central SOE’s primary subsidiaries established in Hunan or relocated from other provinces to Hunan are eligible for a reward up to 10 million yuan, and secondary subsidiaries are eligible for up to 5 million yuan. “Top 500 Chinese Enterprises in Three Categories” establishing headquarters in Hunan are eligible for a reward up to 10 million yuan. Other significant foreign-funded or key investment projects identified by the MOFCOM or Hunan Province are eligible for a reward up to 10 million yuan. Enterprises are encouraged to establish research and development or innovation centers in Hunan; the centers recognized by departments at the provincial level or above are eligible for a reward up to 5 million yuan.</w:t>
                      </w:r>
                    </w:p>
                    <w:p w14:paraId="19F6B3DF">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Land Support: </w:t>
                      </w:r>
                      <w:r>
                        <w:rPr>
                          <w:rFonts w:ascii="Times New Roman" w:hAnsi="Times New Roman" w:cs="Times New Roman"/>
                          <w:color w:val="3F3F3F" w:themeColor="text1" w:themeTint="BF"/>
                          <w:sz w:val="18"/>
                          <w:szCs w:val="18"/>
                        </w:rPr>
                        <w:t>Projects meeting the National Catalog of Preferred Industries for Foreign Investment and Catalog of Advantageous Industries for Foreign Investment in Central and Western China (Hunan) are eligible for land support. Projects on the List of Key Investment Projects can enjoy increased support in land, environmental protection, energy, finance, human resources, and facilitation of entry and exit.</w:t>
                      </w:r>
                    </w:p>
                  </w:txbxContent>
                </v:textbox>
              </v:shape>
            </w:pict>
          </mc:Fallback>
        </mc:AlternateContent>
      </w:r>
    </w:p>
    <w:p w14:paraId="28D10BF8">
      <w:pPr>
        <w:pStyle w:val="85"/>
        <w:ind w:left="426" w:firstLine="0" w:firstLineChars="0"/>
        <w:rPr>
          <w:iCs/>
        </w:rPr>
      </w:pPr>
    </w:p>
    <w:p w14:paraId="48A140CE">
      <w:pPr>
        <w:pStyle w:val="85"/>
        <w:ind w:left="426" w:firstLine="0" w:firstLineChars="0"/>
        <w:rPr>
          <w:iCs/>
        </w:rPr>
      </w:pPr>
    </w:p>
    <w:p w14:paraId="59AF9E1C">
      <w:pPr>
        <w:pStyle w:val="85"/>
        <w:ind w:left="426" w:firstLine="0" w:firstLineChars="0"/>
        <w:rPr>
          <w:iCs/>
        </w:rPr>
      </w:pPr>
    </w:p>
    <w:p w14:paraId="2D1CB80E">
      <w:pPr>
        <w:pStyle w:val="85"/>
        <w:ind w:left="426" w:firstLine="0" w:firstLineChars="0"/>
        <w:rPr>
          <w:iCs/>
        </w:rPr>
      </w:pPr>
    </w:p>
    <w:p w14:paraId="242E4E3B">
      <w:pPr>
        <w:pStyle w:val="85"/>
        <w:ind w:left="426" w:firstLine="0" w:firstLineChars="0"/>
        <w:rPr>
          <w:iCs/>
        </w:rPr>
      </w:pPr>
    </w:p>
    <w:p w14:paraId="5C892404">
      <w:pPr>
        <w:pStyle w:val="85"/>
        <w:ind w:left="426" w:firstLine="0" w:firstLineChars="0"/>
        <w:rPr>
          <w:iCs/>
        </w:rPr>
      </w:pPr>
    </w:p>
    <w:p w14:paraId="459ED6E7">
      <w:pPr>
        <w:pStyle w:val="85"/>
        <w:ind w:left="426" w:firstLine="0" w:firstLineChars="0"/>
        <w:rPr>
          <w:iCs/>
        </w:rPr>
      </w:pPr>
    </w:p>
    <w:p w14:paraId="7AAD809D">
      <w:pPr>
        <w:pStyle w:val="85"/>
        <w:ind w:left="426" w:firstLine="0" w:firstLineChars="0"/>
        <w:rPr>
          <w:iCs/>
        </w:rPr>
      </w:pPr>
    </w:p>
    <w:p w14:paraId="2A139E38">
      <w:pPr>
        <w:pStyle w:val="85"/>
        <w:ind w:left="426" w:firstLine="0" w:firstLineChars="0"/>
        <w:rPr>
          <w:iCs/>
        </w:rPr>
      </w:pPr>
    </w:p>
    <w:p w14:paraId="747A1DB2">
      <w:pPr>
        <w:pStyle w:val="85"/>
        <w:ind w:left="426" w:firstLine="0" w:firstLineChars="0"/>
        <w:rPr>
          <w:iCs/>
        </w:rPr>
      </w:pPr>
    </w:p>
    <w:p w14:paraId="04063DB7">
      <w:pPr>
        <w:pStyle w:val="85"/>
        <w:ind w:left="426" w:firstLine="0" w:firstLineChars="0"/>
        <w:rPr>
          <w:iCs/>
        </w:rPr>
      </w:pPr>
    </w:p>
    <w:p w14:paraId="3AA20ED3">
      <w:pPr>
        <w:snapToGrid w:val="0"/>
        <w:jc w:val="center"/>
        <w:rPr>
          <w:rFonts w:ascii="Times New Roman" w:hAnsi="Times New Roman" w:eastAsia="仿宋" w:cs="Times New Roman"/>
          <w:b/>
          <w:bCs/>
          <w:sz w:val="16"/>
          <w:szCs w:val="21"/>
        </w:rPr>
      </w:pPr>
    </w:p>
    <w:p w14:paraId="0A1BCFE6">
      <w:pPr>
        <w:snapToGrid w:val="0"/>
        <w:jc w:val="center"/>
        <w:rPr>
          <w:rFonts w:ascii="Times New Roman" w:hAnsi="Times New Roman" w:eastAsia="仿宋" w:cs="Times New Roman"/>
          <w:b/>
          <w:bCs/>
          <w:sz w:val="16"/>
          <w:szCs w:val="21"/>
        </w:rPr>
      </w:pPr>
    </w:p>
    <w:p w14:paraId="543EB41B">
      <w:pPr>
        <w:snapToGrid w:val="0"/>
        <w:jc w:val="center"/>
        <w:rPr>
          <w:rFonts w:ascii="Times New Roman" w:hAnsi="Times New Roman" w:eastAsia="仿宋" w:cs="Times New Roman"/>
          <w:b/>
          <w:bCs/>
          <w:sz w:val="16"/>
          <w:szCs w:val="21"/>
        </w:rPr>
      </w:pPr>
    </w:p>
    <w:p w14:paraId="48D03923">
      <w:pPr>
        <w:snapToGrid w:val="0"/>
        <w:jc w:val="center"/>
        <w:rPr>
          <w:rFonts w:ascii="Times New Roman" w:hAnsi="Times New Roman" w:eastAsia="仿宋" w:cs="Times New Roman"/>
          <w:b/>
          <w:bCs/>
          <w:sz w:val="16"/>
          <w:szCs w:val="21"/>
        </w:rPr>
      </w:pPr>
    </w:p>
    <w:p w14:paraId="06584D0F">
      <w:pPr>
        <w:snapToGrid w:val="0"/>
        <w:jc w:val="center"/>
        <w:rPr>
          <w:rFonts w:ascii="Times New Roman" w:hAnsi="Times New Roman" w:eastAsia="仿宋" w:cs="Times New Roman"/>
          <w:b/>
          <w:bCs/>
          <w:sz w:val="16"/>
          <w:szCs w:val="21"/>
        </w:rPr>
      </w:pPr>
    </w:p>
    <w:p w14:paraId="604033EA">
      <w:pPr>
        <w:snapToGrid w:val="0"/>
        <w:jc w:val="center"/>
        <w:rPr>
          <w:rFonts w:ascii="Times New Roman" w:hAnsi="Times New Roman" w:eastAsia="仿宋" w:cs="Times New Roman"/>
          <w:b/>
          <w:bCs/>
          <w:sz w:val="16"/>
          <w:szCs w:val="21"/>
        </w:rPr>
      </w:pPr>
    </w:p>
    <w:p w14:paraId="2BEEA101">
      <w:pPr>
        <w:snapToGrid w:val="0"/>
        <w:jc w:val="center"/>
        <w:rPr>
          <w:rFonts w:ascii="Times New Roman" w:hAnsi="Times New Roman" w:eastAsia="仿宋" w:cs="Times New Roman"/>
          <w:b/>
          <w:bCs/>
          <w:sz w:val="16"/>
          <w:szCs w:val="21"/>
        </w:rPr>
      </w:pPr>
    </w:p>
    <w:p w14:paraId="7723CE14">
      <w:pPr>
        <w:snapToGrid w:val="0"/>
        <w:jc w:val="center"/>
        <w:rPr>
          <w:rFonts w:ascii="Times New Roman" w:hAnsi="Times New Roman" w:eastAsia="仿宋" w:cs="Times New Roman"/>
          <w:b/>
          <w:bCs/>
          <w:sz w:val="16"/>
          <w:szCs w:val="21"/>
        </w:rPr>
      </w:pPr>
    </w:p>
    <w:p w14:paraId="2A3971DE">
      <w:pPr>
        <w:snapToGrid w:val="0"/>
        <w:jc w:val="center"/>
        <w:rPr>
          <w:rFonts w:ascii="Times New Roman" w:hAnsi="Times New Roman" w:eastAsia="仿宋" w:cs="Times New Roman"/>
          <w:b/>
          <w:bCs/>
          <w:sz w:val="16"/>
          <w:szCs w:val="21"/>
        </w:rPr>
      </w:pPr>
    </w:p>
    <w:p w14:paraId="41476047">
      <w:pPr>
        <w:snapToGrid w:val="0"/>
        <w:jc w:val="center"/>
        <w:rPr>
          <w:rFonts w:ascii="Times New Roman" w:hAnsi="Times New Roman" w:eastAsia="仿宋" w:cs="Times New Roman"/>
          <w:b/>
          <w:bCs/>
          <w:sz w:val="16"/>
          <w:szCs w:val="21"/>
        </w:rPr>
      </w:pPr>
    </w:p>
    <w:p w14:paraId="17364D8A">
      <w:pPr>
        <w:adjustRightInd w:val="0"/>
        <w:snapToGrid w:val="0"/>
        <w:spacing w:beforeLines="50" w:afterLines="20"/>
        <w:jc w:val="center"/>
        <w:rPr>
          <w:rFonts w:ascii="Times New Roman" w:hAnsi="Times New Roman" w:eastAsia="仿宋" w:cs="Times New Roman"/>
          <w:sz w:val="18"/>
          <w:szCs w:val="16"/>
        </w:rPr>
      </w:pPr>
      <w:bookmarkStart w:id="26" w:name="_Toc131156269"/>
      <w:bookmarkStart w:id="27" w:name="_Toc32584"/>
      <w:bookmarkStart w:id="28" w:name="_Toc130669138"/>
      <w:bookmarkStart w:id="29" w:name="_Toc128041738"/>
      <w:bookmarkStart w:id="30" w:name="_Toc129701355"/>
      <w:bookmarkStart w:id="31" w:name="_Toc128033706"/>
      <w:bookmarkStart w:id="32" w:name="_Toc130837009"/>
      <w:bookmarkStart w:id="33" w:name="_Toc129010562"/>
      <w:bookmarkStart w:id="34" w:name="_Toc130837906"/>
      <w:r>
        <w:rPr>
          <w:rFonts w:ascii="Times New Roman" w:hAnsi="Times New Roman" w:eastAsia="仿宋" w:cs="Times New Roman"/>
          <w:sz w:val="18"/>
          <w:szCs w:val="20"/>
        </w:rPr>
        <w:t>Funds supporting the modern petrochemical industry</w:t>
      </w:r>
    </w:p>
    <w:tbl>
      <w:tblPr>
        <w:tblStyle w:val="44"/>
        <w:tblW w:w="5000" w:type="pct"/>
        <w:tblInd w:w="0" w:type="dxa"/>
        <w:tblBorders>
          <w:top w:val="single" w:color="9BBB59" w:sz="4" w:space="0"/>
          <w:left w:val="none" w:color="auto" w:sz="0" w:space="0"/>
          <w:bottom w:val="single" w:color="9BBB59"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9"/>
        <w:gridCol w:w="1360"/>
        <w:gridCol w:w="1563"/>
        <w:gridCol w:w="647"/>
        <w:gridCol w:w="810"/>
        <w:gridCol w:w="1568"/>
      </w:tblGrid>
      <w:tr w14:paraId="217FE0C5">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1" w:hRule="atLeast"/>
          <w:tblHeader/>
        </w:trPr>
        <w:tc>
          <w:tcPr>
            <w:tcW w:w="387" w:type="pct"/>
            <w:tcBorders>
              <w:bottom w:val="single" w:color="9BBB59" w:sz="4" w:space="0"/>
            </w:tcBorders>
            <w:vAlign w:val="center"/>
          </w:tcPr>
          <w:p w14:paraId="2F6F3A94">
            <w:pPr>
              <w:suppressAutoHyphens/>
              <w:adjustRightInd w:val="0"/>
              <w:snapToGrid w:val="0"/>
              <w:ind w:left="-63" w:leftChars="-30" w:right="-63" w:rightChars="-3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No.</w:t>
            </w:r>
          </w:p>
        </w:tc>
        <w:tc>
          <w:tcPr>
            <w:tcW w:w="1055" w:type="pct"/>
            <w:tcBorders>
              <w:bottom w:val="single" w:color="9BBB59" w:sz="4" w:space="0"/>
            </w:tcBorders>
            <w:vAlign w:val="center"/>
          </w:tcPr>
          <w:p w14:paraId="18C3A0DE">
            <w:pPr>
              <w:suppressAutoHyphens/>
              <w:adjustRightInd w:val="0"/>
              <w:snapToGrid w:val="0"/>
              <w:ind w:left="-63" w:leftChars="-30" w:right="-63" w:rightChars="-3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Fund</w:t>
            </w:r>
          </w:p>
        </w:tc>
        <w:tc>
          <w:tcPr>
            <w:tcW w:w="1212" w:type="pct"/>
            <w:tcBorders>
              <w:bottom w:val="single" w:color="9BBB59" w:sz="4" w:space="0"/>
            </w:tcBorders>
            <w:vAlign w:val="center"/>
          </w:tcPr>
          <w:p w14:paraId="589D5438">
            <w:pPr>
              <w:suppressAutoHyphens/>
              <w:adjustRightInd w:val="0"/>
              <w:snapToGrid w:val="0"/>
              <w:ind w:left="-63" w:leftChars="-30" w:right="-63" w:rightChars="-3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Sector</w:t>
            </w:r>
          </w:p>
        </w:tc>
        <w:tc>
          <w:tcPr>
            <w:tcW w:w="502" w:type="pct"/>
            <w:tcBorders>
              <w:bottom w:val="single" w:color="9BBB59" w:sz="4" w:space="0"/>
            </w:tcBorders>
            <w:vAlign w:val="center"/>
          </w:tcPr>
          <w:p w14:paraId="56EAA39E">
            <w:pPr>
              <w:suppressAutoHyphens/>
              <w:adjustRightInd w:val="0"/>
              <w:snapToGrid w:val="0"/>
              <w:ind w:left="-63" w:leftChars="-30" w:right="-63" w:rightChars="-3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Est. Time</w:t>
            </w:r>
          </w:p>
        </w:tc>
        <w:tc>
          <w:tcPr>
            <w:tcW w:w="628" w:type="pct"/>
            <w:tcBorders>
              <w:bottom w:val="single" w:color="9BBB59" w:sz="4" w:space="0"/>
            </w:tcBorders>
            <w:vAlign w:val="center"/>
          </w:tcPr>
          <w:p w14:paraId="316D0412">
            <w:pPr>
              <w:suppressAutoHyphens/>
              <w:adjustRightInd w:val="0"/>
              <w:snapToGrid w:val="0"/>
              <w:ind w:left="-63" w:leftChars="-30" w:right="-63" w:rightChars="-3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Scale (RMB)</w:t>
            </w:r>
          </w:p>
        </w:tc>
        <w:tc>
          <w:tcPr>
            <w:tcW w:w="1216" w:type="pct"/>
            <w:tcBorders>
              <w:bottom w:val="single" w:color="9BBB59" w:sz="4" w:space="0"/>
            </w:tcBorders>
            <w:vAlign w:val="center"/>
          </w:tcPr>
          <w:p w14:paraId="5C635B90">
            <w:pPr>
              <w:suppressAutoHyphens/>
              <w:adjustRightInd w:val="0"/>
              <w:snapToGrid w:val="0"/>
              <w:ind w:left="-63" w:leftChars="-30" w:right="-63" w:rightChars="-3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Remarks</w:t>
            </w:r>
          </w:p>
        </w:tc>
      </w:tr>
      <w:tr w14:paraId="3DDF4EF9">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74" w:hRule="atLeast"/>
        </w:trPr>
        <w:tc>
          <w:tcPr>
            <w:tcW w:w="387" w:type="pct"/>
            <w:shd w:val="clear" w:color="auto" w:fill="EAF1DD"/>
            <w:vAlign w:val="center"/>
          </w:tcPr>
          <w:p w14:paraId="28F819F7">
            <w:pPr>
              <w:suppressAutoHyphens/>
              <w:adjustRightInd w:val="0"/>
              <w:snapToGrid w:val="0"/>
              <w:ind w:left="-63" w:leftChars="-30" w:right="-63" w:rightChars="-3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1</w:t>
            </w:r>
          </w:p>
        </w:tc>
        <w:tc>
          <w:tcPr>
            <w:tcW w:w="1055" w:type="pct"/>
            <w:shd w:val="clear" w:color="auto" w:fill="EAF1DD"/>
            <w:vAlign w:val="center"/>
          </w:tcPr>
          <w:p w14:paraId="22CC1956">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Hengyang Industrial Investment Fund</w:t>
            </w:r>
          </w:p>
        </w:tc>
        <w:tc>
          <w:tcPr>
            <w:tcW w:w="1212" w:type="pct"/>
            <w:shd w:val="clear" w:color="auto" w:fill="EAF1DD"/>
            <w:vAlign w:val="center"/>
          </w:tcPr>
          <w:p w14:paraId="262D5217">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Salt brine chemicals (including fine chemicals), etc.</w:t>
            </w:r>
          </w:p>
        </w:tc>
        <w:tc>
          <w:tcPr>
            <w:tcW w:w="502" w:type="pct"/>
            <w:shd w:val="clear" w:color="auto" w:fill="EAF1DD"/>
            <w:vAlign w:val="center"/>
          </w:tcPr>
          <w:p w14:paraId="73BFFB12">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2018</w:t>
            </w:r>
          </w:p>
        </w:tc>
        <w:tc>
          <w:tcPr>
            <w:tcW w:w="628" w:type="pct"/>
            <w:shd w:val="clear" w:color="auto" w:fill="EAF1DD"/>
            <w:vAlign w:val="center"/>
          </w:tcPr>
          <w:p w14:paraId="3AB8079E">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6 billion +</w:t>
            </w:r>
          </w:p>
        </w:tc>
        <w:tc>
          <w:tcPr>
            <w:tcW w:w="1216" w:type="pct"/>
            <w:shd w:val="clear" w:color="auto" w:fill="EAF1DD"/>
            <w:vAlign w:val="center"/>
          </w:tcPr>
          <w:p w14:paraId="7389A64C">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Hengyang Municipal People’s Government has contributed 1.5 billion yuan as an industrial guidance fund and established sub-funds through cooperation with other private capital</w:t>
            </w:r>
          </w:p>
        </w:tc>
      </w:tr>
      <w:tr w14:paraId="481939BA">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74" w:hRule="atLeast"/>
        </w:trPr>
        <w:tc>
          <w:tcPr>
            <w:tcW w:w="387" w:type="pct"/>
            <w:vAlign w:val="center"/>
          </w:tcPr>
          <w:p w14:paraId="014F00A4">
            <w:pPr>
              <w:suppressAutoHyphens/>
              <w:adjustRightInd w:val="0"/>
              <w:snapToGrid w:val="0"/>
              <w:ind w:left="-63" w:leftChars="-30" w:right="-63" w:rightChars="-3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2</w:t>
            </w:r>
          </w:p>
        </w:tc>
        <w:tc>
          <w:tcPr>
            <w:tcW w:w="1055" w:type="pct"/>
            <w:vAlign w:val="center"/>
          </w:tcPr>
          <w:p w14:paraId="04CB472A">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Yueyang Caijin Taiyou Industrial Investment Fund</w:t>
            </w:r>
          </w:p>
        </w:tc>
        <w:tc>
          <w:tcPr>
            <w:tcW w:w="1212" w:type="pct"/>
            <w:vAlign w:val="center"/>
          </w:tcPr>
          <w:p w14:paraId="3AC2C66E">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Petrochemical, food processing, electronic information, equipment manufacturing, electric power and energy</w:t>
            </w:r>
          </w:p>
        </w:tc>
        <w:tc>
          <w:tcPr>
            <w:tcW w:w="502" w:type="pct"/>
            <w:vAlign w:val="center"/>
          </w:tcPr>
          <w:p w14:paraId="2EF7AC66">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2021</w:t>
            </w:r>
          </w:p>
        </w:tc>
        <w:tc>
          <w:tcPr>
            <w:tcW w:w="628" w:type="pct"/>
            <w:vAlign w:val="center"/>
          </w:tcPr>
          <w:p w14:paraId="3761DAC0">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Phase Ⅰ: 500 million</w:t>
            </w:r>
          </w:p>
        </w:tc>
        <w:tc>
          <w:tcPr>
            <w:tcW w:w="1216" w:type="pct"/>
            <w:vAlign w:val="center"/>
          </w:tcPr>
          <w:p w14:paraId="42E3F470">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Jointly initiated by Yueyang Caijin High-tech Industrial Investment and Yueyang Construction and Investment Group</w:t>
            </w:r>
          </w:p>
        </w:tc>
      </w:tr>
      <w:tr w14:paraId="28D012F7">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5" w:hRule="atLeast"/>
        </w:trPr>
        <w:tc>
          <w:tcPr>
            <w:tcW w:w="387" w:type="pct"/>
            <w:shd w:val="clear" w:color="auto" w:fill="EAF1DD"/>
            <w:vAlign w:val="center"/>
          </w:tcPr>
          <w:p w14:paraId="58E45274">
            <w:pPr>
              <w:suppressAutoHyphens/>
              <w:adjustRightInd w:val="0"/>
              <w:snapToGrid w:val="0"/>
              <w:ind w:left="-63" w:leftChars="-30" w:right="-63" w:rightChars="-3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3</w:t>
            </w:r>
          </w:p>
        </w:tc>
        <w:tc>
          <w:tcPr>
            <w:tcW w:w="1055" w:type="pct"/>
            <w:shd w:val="clear" w:color="auto" w:fill="EAF1DD"/>
            <w:vAlign w:val="center"/>
          </w:tcPr>
          <w:p w14:paraId="62FFF636">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Zhuzhou Advanced Industrial Cluster Development Fund of Funds (FOF)</w:t>
            </w:r>
          </w:p>
        </w:tc>
        <w:tc>
          <w:tcPr>
            <w:tcW w:w="1212" w:type="pct"/>
            <w:shd w:val="clear" w:color="auto" w:fill="EAF1DD"/>
            <w:vAlign w:val="center"/>
          </w:tcPr>
          <w:p w14:paraId="48F33B34">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13 iconic industrial chains such as new polymer materials and fine chemicals</w:t>
            </w:r>
          </w:p>
        </w:tc>
        <w:tc>
          <w:tcPr>
            <w:tcW w:w="502" w:type="pct"/>
            <w:shd w:val="clear" w:color="auto" w:fill="EAF1DD"/>
            <w:vAlign w:val="center"/>
          </w:tcPr>
          <w:p w14:paraId="6232B6E2">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2022</w:t>
            </w:r>
          </w:p>
        </w:tc>
        <w:tc>
          <w:tcPr>
            <w:tcW w:w="628" w:type="pct"/>
            <w:shd w:val="clear" w:color="auto" w:fill="EAF1DD"/>
            <w:vAlign w:val="center"/>
          </w:tcPr>
          <w:p w14:paraId="26458B57">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Phase Ⅰ: 5 billion</w:t>
            </w:r>
          </w:p>
        </w:tc>
        <w:tc>
          <w:tcPr>
            <w:tcW w:w="1216" w:type="pct"/>
            <w:shd w:val="clear" w:color="auto" w:fill="EAF1DD"/>
            <w:vAlign w:val="center"/>
          </w:tcPr>
          <w:p w14:paraId="60F2910C">
            <w:pPr>
              <w:suppressAutoHyphens/>
              <w:adjustRightInd w:val="0"/>
              <w:snapToGrid w:val="0"/>
              <w:ind w:left="-63" w:leftChars="-30" w:right="-63" w:rightChars="-3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Led by Zhuzhou Municipal People’s Government, with Hunan Chasing Financial Holdings and Zhuzhou state-owned enterprises as major sponsors</w:t>
            </w:r>
          </w:p>
        </w:tc>
      </w:tr>
      <w:bookmarkEnd w:id="26"/>
      <w:bookmarkEnd w:id="27"/>
      <w:bookmarkEnd w:id="28"/>
      <w:bookmarkEnd w:id="29"/>
      <w:bookmarkEnd w:id="30"/>
      <w:bookmarkEnd w:id="31"/>
      <w:bookmarkEnd w:id="32"/>
      <w:bookmarkEnd w:id="33"/>
      <w:bookmarkEnd w:id="34"/>
    </w:tbl>
    <w:p w14:paraId="73EC3E56">
      <w:pPr>
        <w:keepNext/>
        <w:snapToGrid w:val="0"/>
        <w:spacing w:beforeLines="50" w:line="360" w:lineRule="exact"/>
        <w:ind w:firstLine="442" w:firstLineChars="200"/>
        <w:outlineLvl w:val="2"/>
        <w:rPr>
          <w:rFonts w:ascii="Times New Roman" w:hAnsi="Times New Roman" w:eastAsia="黑体" w:cs="Times New Roman"/>
          <w:b/>
          <w:sz w:val="22"/>
          <w:szCs w:val="24"/>
        </w:rPr>
      </w:pPr>
      <w:bookmarkStart w:id="35" w:name="_Toc163910301"/>
      <w:r>
        <w:rPr>
          <w:rFonts w:ascii="Times New Roman" w:hAnsi="Times New Roman" w:eastAsia="黑体" w:cs="Times New Roman"/>
          <w:b/>
          <w:sz w:val="22"/>
          <w:szCs w:val="24"/>
        </w:rPr>
        <w:t>(4) Investment O</w:t>
      </w:r>
      <w:r>
        <w:rPr>
          <w:rFonts w:hint="eastAsia" w:ascii="Times New Roman" w:hAnsi="Times New Roman" w:eastAsia="黑体" w:cs="Times New Roman"/>
          <w:b/>
          <w:sz w:val="22"/>
          <w:szCs w:val="24"/>
        </w:rPr>
        <w:t>rientation</w:t>
      </w:r>
      <w:r>
        <w:rPr>
          <w:rFonts w:ascii="Times New Roman" w:hAnsi="Times New Roman" w:eastAsia="黑体" w:cs="Times New Roman"/>
          <w:b/>
          <w:sz w:val="22"/>
          <w:szCs w:val="24"/>
        </w:rPr>
        <w:t xml:space="preserve"> and Industrial Layout</w:t>
      </w:r>
      <w:bookmarkEnd w:id="35"/>
    </w:p>
    <w:p w14:paraId="2D4869D8">
      <w:pPr>
        <w:snapToGrid w:val="0"/>
        <w:spacing w:line="360" w:lineRule="exact"/>
        <w:ind w:firstLine="442" w:firstLineChars="200"/>
        <w:rPr>
          <w:rFonts w:ascii="Times New Roman" w:hAnsi="Times New Roman" w:eastAsia="黑体" w:cs="Times New Roman"/>
          <w:bCs/>
          <w:sz w:val="22"/>
        </w:rPr>
      </w:pPr>
      <w:bookmarkStart w:id="36" w:name="_Hlk163831615"/>
      <w:r>
        <w:rPr>
          <w:rFonts w:ascii="Times New Roman" w:hAnsi="Times New Roman" w:eastAsia="黑体" w:cs="Times New Roman"/>
          <w:b/>
          <w:sz w:val="22"/>
        </w:rPr>
        <w:t>Petrochemical</w:t>
      </w:r>
      <w:bookmarkEnd w:id="36"/>
      <w:r>
        <w:rPr>
          <w:rFonts w:ascii="Times New Roman" w:hAnsi="Times New Roman" w:eastAsia="黑体" w:cs="Times New Roman"/>
          <w:b/>
          <w:sz w:val="22"/>
        </w:rPr>
        <w:t>.</w:t>
      </w:r>
      <w:r>
        <w:rPr>
          <w:rFonts w:ascii="Times New Roman" w:hAnsi="Times New Roman" w:eastAsia="黑体" w:cs="Times New Roman"/>
          <w:bCs/>
          <w:sz w:val="22"/>
        </w:rPr>
        <w:t xml:space="preserve"> Based on Yueyang Green Chemical HTZ</w:t>
      </w:r>
      <w:r>
        <w:rPr>
          <w:rFonts w:ascii="Times New Roman" w:hAnsi="Times New Roman" w:eastAsia="黑体" w:cs="Times New Roman"/>
          <w:bCs/>
          <w:sz w:val="22"/>
          <w:vertAlign w:val="superscript"/>
        </w:rPr>
        <w:footnoteReference w:id="0"/>
      </w:r>
      <w:r>
        <w:rPr>
          <w:rFonts w:ascii="Times New Roman" w:hAnsi="Times New Roman" w:eastAsia="黑体" w:cs="Times New Roman"/>
          <w:bCs/>
          <w:sz w:val="22"/>
        </w:rPr>
        <w:t xml:space="preserve"> and Linxiang HTZ, we aim to attract enterprises engaged in petroleum refining, ethylene (polyethylene, EVA, propylene oxide, polyolefin), </w:t>
      </w:r>
    </w:p>
    <w:p w14:paraId="6487A238">
      <w:pPr>
        <w:snapToGrid w:val="0"/>
        <w:rPr>
          <w:rFonts w:ascii="Times New Roman" w:hAnsi="Times New Roman" w:eastAsia="黑体" w:cs="Times New Roman"/>
          <w:bCs/>
          <w:sz w:val="22"/>
        </w:rPr>
      </w:pPr>
      <w:r>
        <w:rPr>
          <w:rFonts w:hint="eastAsia" w:ascii="Times New Roman" w:hAnsi="Times New Roman" w:eastAsia="黑体" w:cs="Times New Roman"/>
          <w:bCs/>
          <w:sz w:val="22"/>
        </w:rPr>
        <w:drawing>
          <wp:anchor distT="0" distB="0" distL="114300" distR="114300" simplePos="0" relativeHeight="251695104" behindDoc="1" locked="0" layoutInCell="1" allowOverlap="1">
            <wp:simplePos x="0" y="0"/>
            <wp:positionH relativeFrom="column">
              <wp:posOffset>0</wp:posOffset>
            </wp:positionH>
            <wp:positionV relativeFrom="paragraph">
              <wp:posOffset>1104900</wp:posOffset>
            </wp:positionV>
            <wp:extent cx="5514975" cy="3306445"/>
            <wp:effectExtent l="0" t="1104900" r="0" b="1113155"/>
            <wp:wrapTight wrapText="bothSides">
              <wp:wrapPolygon>
                <wp:start x="21602" y="502"/>
                <wp:lineTo x="15857" y="502"/>
                <wp:lineTo x="15634" y="751"/>
                <wp:lineTo x="15634" y="2120"/>
                <wp:lineTo x="15559" y="2120"/>
                <wp:lineTo x="14440" y="1498"/>
                <wp:lineTo x="14365" y="1000"/>
                <wp:lineTo x="13171" y="1000"/>
                <wp:lineTo x="12052" y="1746"/>
                <wp:lineTo x="11455" y="1000"/>
                <wp:lineTo x="10933" y="502"/>
                <wp:lineTo x="10858" y="626"/>
                <wp:lineTo x="10038" y="129"/>
                <wp:lineTo x="9739" y="4"/>
                <wp:lineTo x="9665" y="4"/>
                <wp:lineTo x="9292" y="-120"/>
                <wp:lineTo x="8620" y="4"/>
                <wp:lineTo x="8471" y="1498"/>
                <wp:lineTo x="8098" y="1000"/>
                <wp:lineTo x="7799" y="875"/>
                <wp:lineTo x="7277" y="1124"/>
                <wp:lineTo x="7202" y="1124"/>
                <wp:lineTo x="6083" y="1746"/>
                <wp:lineTo x="5710" y="751"/>
                <wp:lineTo x="5486" y="502"/>
                <wp:lineTo x="-35" y="502"/>
                <wp:lineTo x="-35" y="18547"/>
                <wp:lineTo x="5561" y="18796"/>
                <wp:lineTo x="5785" y="18298"/>
                <wp:lineTo x="6083" y="15187"/>
                <wp:lineTo x="6904" y="19791"/>
                <wp:lineTo x="7277" y="20911"/>
                <wp:lineTo x="10858" y="20787"/>
                <wp:lineTo x="11232" y="21285"/>
                <wp:lineTo x="14887" y="21285"/>
                <wp:lineTo x="15111" y="20538"/>
                <wp:lineTo x="15634" y="16929"/>
                <wp:lineTo x="15634" y="18298"/>
                <wp:lineTo x="21602" y="18547"/>
                <wp:lineTo x="21602" y="502"/>
              </wp:wrapPolygon>
            </wp:wrapTight>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rot="16200000">
                      <a:off x="0" y="0"/>
                      <a:ext cx="5514975" cy="3306445"/>
                    </a:xfrm>
                    <a:prstGeom prst="rect">
                      <a:avLst/>
                    </a:prstGeom>
                    <a:noFill/>
                    <a:ln>
                      <a:noFill/>
                    </a:ln>
                  </pic:spPr>
                </pic:pic>
              </a:graphicData>
            </a:graphic>
          </wp:anchor>
        </w:drawing>
      </w:r>
    </w:p>
    <w:p w14:paraId="25FFA17E">
      <w:pPr>
        <w:snapToGrid w:val="0"/>
        <w:spacing w:line="340" w:lineRule="exact"/>
        <w:rPr>
          <w:rFonts w:ascii="Times New Roman" w:hAnsi="Times New Roman" w:eastAsia="黑体" w:cs="Times New Roman"/>
          <w:bCs/>
          <w:sz w:val="22"/>
        </w:rPr>
      </w:pPr>
      <w:r>
        <w:rPr>
          <w:rFonts w:ascii="Times New Roman" w:hAnsi="Times New Roman" w:eastAsia="黑体" w:cs="Times New Roman"/>
          <w:bCs/>
          <w:sz w:val="22"/>
        </w:rPr>
        <w:t>caprolactam (polyamide, engineering plastics, nylon weaving, specialty nylon), petroleum refining catalysts (chemical catalysts, environmental catalysts, fuel cell catalysts), and specialty petrochemicals (thermoplastic rubber, epoxy resins, polyurethane, polycaprolactone, polyimide, carbonate, new high-end polymer materials, organic chemicals, electronic grade chemicals) to extend the development of the polyamide-knitting/engineering plastics-nylon weaving industrial chain.</w:t>
      </w:r>
    </w:p>
    <w:p w14:paraId="78D87B46">
      <w:pPr>
        <w:snapToGrid w:val="0"/>
        <w:spacing w:line="340" w:lineRule="exact"/>
        <w:ind w:firstLine="442" w:firstLineChars="200"/>
        <w:rPr>
          <w:rFonts w:ascii="Times New Roman" w:hAnsi="Times New Roman" w:eastAsia="黑体" w:cs="Times New Roman"/>
          <w:bCs/>
          <w:sz w:val="22"/>
        </w:rPr>
      </w:pPr>
      <w:bookmarkStart w:id="37" w:name="_Hlk163831625"/>
      <w:r>
        <w:rPr>
          <w:rFonts w:ascii="Times New Roman" w:hAnsi="Times New Roman" w:eastAsia="黑体" w:cs="Times New Roman"/>
          <w:b/>
          <w:sz w:val="22"/>
        </w:rPr>
        <w:t>Chlorochemical &amp; Fluorochemical</w:t>
      </w:r>
      <w:bookmarkEnd w:id="37"/>
      <w:r>
        <w:rPr>
          <w:rFonts w:ascii="Times New Roman" w:hAnsi="Times New Roman" w:eastAsia="黑体" w:cs="Times New Roman"/>
          <w:b/>
          <w:sz w:val="22"/>
        </w:rPr>
        <w:t>.</w:t>
      </w:r>
      <w:r>
        <w:rPr>
          <w:rFonts w:ascii="Times New Roman" w:hAnsi="Times New Roman" w:eastAsia="黑体" w:cs="Times New Roman"/>
          <w:bCs/>
          <w:sz w:val="22"/>
        </w:rPr>
        <w:t xml:space="preserve"> Based on Hengyang Songmu ETDZ</w:t>
      </w:r>
      <w:r>
        <w:rPr>
          <w:rFonts w:ascii="Times New Roman" w:hAnsi="Times New Roman" w:eastAsia="黑体" w:cs="Times New Roman"/>
          <w:bCs/>
          <w:sz w:val="22"/>
          <w:vertAlign w:val="superscript"/>
        </w:rPr>
        <w:footnoteReference w:id="1"/>
      </w:r>
      <w:r>
        <w:rPr>
          <w:rFonts w:ascii="Times New Roman" w:hAnsi="Times New Roman" w:eastAsia="黑体" w:cs="Times New Roman"/>
          <w:bCs/>
          <w:sz w:val="22"/>
        </w:rPr>
        <w:t xml:space="preserve">, Yizhang ETDZ, and Xiangxiang ETDZ, we aim to attract enterprises engaged in base organic chemicals and organic fluorine chemicals including basic chemical raw materials and functional materials (chlorine, sulfur, ammonia), chlor-alkali, soda ash, electronic-grade hydrogen peroxide, sulfuric acid, hydrochloric acid, high-purity ammonia, new water treatment agents, high-end inorganic salts, high-quality polyvinyl chloride, epichlorohydrin, polyoxymethylene, </w:t>
      </w:r>
      <w:r>
        <w:rPr>
          <w:rFonts w:hint="eastAsia" w:ascii="Times New Roman" w:hAnsi="Times New Roman" w:eastAsia="黑体" w:cs="Times New Roman"/>
          <w:bCs/>
          <w:sz w:val="22"/>
        </w:rPr>
        <w:t>c</w:t>
      </w:r>
      <w:r>
        <w:rPr>
          <w:rFonts w:ascii="Times New Roman" w:hAnsi="Times New Roman" w:eastAsia="黑体" w:cs="Times New Roman"/>
          <w:bCs/>
          <w:sz w:val="22"/>
        </w:rPr>
        <w:t>hlorotrifluoroethylene, and others to develop the whole industrial chain of distinctive fluorochemical.</w:t>
      </w:r>
    </w:p>
    <w:p w14:paraId="465A7DD4">
      <w:pPr>
        <w:snapToGrid w:val="0"/>
        <w:spacing w:line="340" w:lineRule="exact"/>
        <w:ind w:firstLine="442" w:firstLineChars="200"/>
        <w:rPr>
          <w:rFonts w:ascii="Times New Roman" w:hAnsi="Times New Roman" w:eastAsia="仿宋" w:cs="Times New Roman"/>
          <w:sz w:val="20"/>
          <w:szCs w:val="20"/>
        </w:rPr>
      </w:pPr>
      <w:bookmarkStart w:id="38" w:name="_Hlk163831633"/>
      <w:r>
        <w:rPr>
          <w:rFonts w:ascii="Times New Roman" w:hAnsi="Times New Roman" w:eastAsia="黑体" w:cs="Times New Roman"/>
          <w:b/>
          <w:sz w:val="22"/>
        </w:rPr>
        <w:t>Fine Chemical</w:t>
      </w:r>
      <w:bookmarkEnd w:id="38"/>
      <w:r>
        <w:rPr>
          <w:rFonts w:ascii="Times New Roman" w:hAnsi="Times New Roman" w:eastAsia="黑体" w:cs="Times New Roman"/>
          <w:b/>
          <w:sz w:val="22"/>
        </w:rPr>
        <w:t>.</w:t>
      </w:r>
      <w:r>
        <w:rPr>
          <w:rFonts w:ascii="Times New Roman" w:hAnsi="Times New Roman" w:eastAsia="黑体" w:cs="Times New Roman"/>
          <w:bCs/>
          <w:sz w:val="22"/>
        </w:rPr>
        <w:t xml:space="preserve"> Based on Wangcheng ETDZ, Hongjiang HTZ (Hongjiang District), and Jinshi HTZ, we aim to attract enterprises specializing in high-end coatings, pesticides, enzyme preparations, and other products to extend and develop the new chemical materials industrial chain.</w:t>
      </w:r>
    </w:p>
    <w:p w14:paraId="0FC733C5">
      <w:pPr>
        <w:snapToGrid w:val="0"/>
        <w:spacing w:line="360" w:lineRule="exact"/>
        <w:ind w:firstLine="400" w:firstLineChars="200"/>
        <w:rPr>
          <w:rFonts w:ascii="Times New Roman" w:hAnsi="Times New Roman" w:eastAsia="仿宋" w:cs="Times New Roman"/>
          <w:sz w:val="20"/>
          <w:szCs w:val="20"/>
        </w:rPr>
        <w:sectPr>
          <w:headerReference r:id="rId5" w:type="default"/>
          <w:footerReference r:id="rId6" w:type="default"/>
          <w:pgSz w:w="8391" w:h="11907"/>
          <w:pgMar w:top="1440" w:right="1080" w:bottom="1440" w:left="1080" w:header="680" w:footer="992" w:gutter="0"/>
          <w:pgNumType w:start="1"/>
          <w:cols w:space="720" w:num="1"/>
          <w:docGrid w:type="lines" w:linePitch="381" w:charSpace="0"/>
        </w:sectPr>
      </w:pPr>
    </w:p>
    <w:p w14:paraId="18D69AC1">
      <w:pPr>
        <w:keepNext/>
        <w:snapToGrid w:val="0"/>
        <w:spacing w:beforeLines="150" w:afterLines="50" w:line="360" w:lineRule="exact"/>
        <w:jc w:val="center"/>
        <w:outlineLvl w:val="1"/>
        <w:rPr>
          <w:rFonts w:ascii="Times New Roman" w:hAnsi="Times New Roman" w:eastAsia="仿宋" w:cs="Times New Roman"/>
          <w:b/>
          <w:bCs/>
          <w:sz w:val="22"/>
          <w:szCs w:val="24"/>
        </w:rPr>
      </w:pPr>
      <w:bookmarkStart w:id="39" w:name="_Toc163910302"/>
      <w:r>
        <w:rPr>
          <w:rFonts w:ascii="Times New Roman" w:hAnsi="Times New Roman" w:eastAsia="仿宋" w:cs="Times New Roman"/>
          <w:b/>
          <w:bCs/>
          <w:sz w:val="22"/>
          <w:szCs w:val="24"/>
        </w:rPr>
        <w:t>2. Green Mining</w:t>
      </w:r>
      <w:bookmarkEnd w:id="39"/>
    </w:p>
    <w:p w14:paraId="783FD2EB">
      <w:pPr>
        <w:keepNext/>
        <w:snapToGrid w:val="0"/>
        <w:spacing w:line="360" w:lineRule="exact"/>
        <w:ind w:firstLine="442" w:firstLineChars="200"/>
        <w:outlineLvl w:val="2"/>
        <w:rPr>
          <w:rFonts w:ascii="Times New Roman" w:hAnsi="Times New Roman" w:eastAsia="黑体" w:cs="Times New Roman"/>
          <w:b/>
          <w:sz w:val="22"/>
          <w:szCs w:val="24"/>
        </w:rPr>
      </w:pPr>
      <w:bookmarkStart w:id="40" w:name="_Toc163910303"/>
      <w:r>
        <w:rPr>
          <w:rFonts w:ascii="Times New Roman" w:hAnsi="Times New Roman" w:eastAsia="黑体" w:cs="Times New Roman"/>
          <w:b/>
          <w:sz w:val="22"/>
          <w:szCs w:val="24"/>
        </w:rPr>
        <w:t>(1) Development Status</w:t>
      </w:r>
      <w:bookmarkEnd w:id="40"/>
    </w:p>
    <w:p w14:paraId="7E360A04">
      <w:pPr>
        <w:snapToGrid w:val="0"/>
        <w:spacing w:line="360" w:lineRule="exact"/>
        <w:ind w:firstLine="420" w:firstLineChars="200"/>
        <w:rPr>
          <w:rFonts w:ascii="Times New Roman" w:hAnsi="Times New Roman" w:eastAsia="仿宋" w:cs="Times New Roman"/>
        </w:rPr>
      </w:pPr>
      <w:r>
        <w:rPr>
          <w:rFonts w:ascii="Times New Roman" w:hAnsi="Times New Roman" w:eastAsia="仿宋" w:cs="Times New Roman"/>
        </w:rPr>
        <w:t xml:space="preserve">Endowed with mineral resources, Hunan is renowned as the “land of non-ferrous metals” and the “land of non-metallic minerals”. The province has identified 121 types of minerals (including 146 sub-types), accounting for 69.94% of the 173 types discovered nationwide, with reserves confirmed for 88 types. Over 3,000 entities hold mineral rights in the province, employing 100,000 workers and annually producing over 200 million tons of ore. </w:t>
      </w:r>
      <w:r>
        <w:rPr>
          <w:rFonts w:hint="eastAsia" w:ascii="Times New Roman" w:hAnsi="Times New Roman" w:eastAsia="仿宋" w:cs="Times New Roman"/>
        </w:rPr>
        <w:t>In 2024, the main business revenue of the nonferrous metals industry in the province reached 298.815 billion yuan, marking a year-on-year increase of 17%.</w:t>
      </w:r>
      <w:r>
        <w:rPr>
          <w:rFonts w:hint="eastAsia" w:ascii="Times New Roman" w:hAnsi="Times New Roman" w:eastAsia="仿宋" w:cs="Times New Roman"/>
          <w:lang w:val="en-US" w:eastAsia="zh-CN"/>
        </w:rPr>
        <w:t xml:space="preserve"> </w:t>
      </w:r>
      <w:r>
        <w:rPr>
          <w:rFonts w:ascii="Times New Roman" w:hAnsi="Times New Roman" w:eastAsia="仿宋" w:cs="Times New Roman"/>
        </w:rPr>
        <w:t>Additionally, the province has an annual production capacity of 35 million square meters for prefabricated building components, making it China’s only pilot province for green construction.</w:t>
      </w:r>
    </w:p>
    <w:p w14:paraId="7E1199B3">
      <w:pPr>
        <w:snapToGrid w:val="0"/>
        <w:spacing w:beforeLines="50"/>
        <w:rPr>
          <w:rFonts w:ascii="Times New Roman" w:hAnsi="Times New Roman" w:eastAsia="仿宋" w:cs="Times New Roman"/>
        </w:rPr>
      </w:pPr>
      <w:r>
        <w:rPr>
          <w:rFonts w:hint="eastAsia"/>
        </w:rPr>
        <w:drawing>
          <wp:inline distT="0" distB="0" distL="0" distR="0">
            <wp:extent cx="4025900" cy="1271270"/>
            <wp:effectExtent l="0" t="0" r="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4028683" cy="1272089"/>
                    </a:xfrm>
                    <a:prstGeom prst="rect">
                      <a:avLst/>
                    </a:prstGeom>
                    <a:noFill/>
                    <a:ln>
                      <a:noFill/>
                    </a:ln>
                  </pic:spPr>
                </pic:pic>
              </a:graphicData>
            </a:graphic>
          </wp:inline>
        </w:drawing>
      </w:r>
    </w:p>
    <w:p w14:paraId="39C48E78">
      <w:pPr>
        <w:snapToGrid w:val="0"/>
        <w:spacing w:line="360" w:lineRule="exact"/>
        <w:jc w:val="center"/>
        <w:rPr>
          <w:rFonts w:ascii="Times New Roman" w:hAnsi="Times New Roman" w:eastAsia="仿宋" w:cs="Times New Roman"/>
          <w:sz w:val="18"/>
          <w:szCs w:val="20"/>
        </w:rPr>
      </w:pPr>
      <w:r>
        <w:rPr>
          <w:rFonts w:ascii="Times New Roman" w:hAnsi="Times New Roman" w:eastAsia="仿宋" w:cs="Times New Roman"/>
          <w:sz w:val="18"/>
          <w:szCs w:val="20"/>
        </w:rPr>
        <w:t>Leading companies in green mining</w:t>
      </w:r>
    </w:p>
    <w:p w14:paraId="216B10EF">
      <w:pPr>
        <w:keepNext/>
        <w:snapToGrid w:val="0"/>
        <w:spacing w:line="360" w:lineRule="exact"/>
        <w:ind w:firstLine="442" w:firstLineChars="200"/>
        <w:outlineLvl w:val="2"/>
        <w:rPr>
          <w:rFonts w:ascii="Times New Roman" w:hAnsi="Times New Roman" w:eastAsia="黑体" w:cs="Times New Roman"/>
          <w:b/>
          <w:sz w:val="22"/>
          <w:szCs w:val="24"/>
        </w:rPr>
      </w:pPr>
      <w:bookmarkStart w:id="41" w:name="_Toc163910304"/>
      <w:r>
        <w:rPr>
          <w:rFonts w:ascii="Times New Roman" w:hAnsi="Times New Roman" w:eastAsia="黑体" w:cs="Times New Roman"/>
          <w:b/>
          <w:sz w:val="22"/>
          <w:szCs w:val="24"/>
        </w:rPr>
        <w:t>(2) Development Target</w:t>
      </w:r>
      <w:bookmarkEnd w:id="41"/>
    </w:p>
    <w:p w14:paraId="57045272">
      <w:pPr>
        <w:snapToGrid w:val="0"/>
        <w:spacing w:line="360" w:lineRule="exact"/>
        <w:ind w:firstLine="440" w:firstLineChars="200"/>
        <w:rPr>
          <w:rFonts w:ascii="Times New Roman" w:hAnsi="Times New Roman" w:eastAsia="仿宋" w:cs="Times New Roman"/>
          <w:sz w:val="22"/>
          <w:szCs w:val="24"/>
        </w:rPr>
      </w:pPr>
      <w:r>
        <w:rPr>
          <w:rFonts w:ascii="Times New Roman" w:hAnsi="Times New Roman" w:eastAsia="仿宋" w:cs="Times New Roman"/>
          <w:sz w:val="22"/>
          <w:szCs w:val="24"/>
        </w:rPr>
        <w:t>By 2027, the industry will strive to achieve an operating revenue of one trillion yuan in green mining and establish several one-hundred-billion-yuan-output mining industry clusters. The production capacity in sectors such as steel, cement, and flat glass will be controlled rationally to scale up product restructuring toward the higher end and build a comprehensive industrial chain covering mining and dressing, smelting, pressing, and recycling.</w:t>
      </w:r>
    </w:p>
    <w:p w14:paraId="4E5FB3D9">
      <w:pPr>
        <w:keepNext/>
        <w:snapToGrid w:val="0"/>
        <w:spacing w:line="360" w:lineRule="exact"/>
        <w:ind w:firstLine="442" w:firstLineChars="200"/>
        <w:outlineLvl w:val="2"/>
        <w:rPr>
          <w:rFonts w:ascii="Times New Roman" w:hAnsi="Times New Roman" w:eastAsia="黑体" w:cs="Times New Roman"/>
          <w:b/>
          <w:sz w:val="22"/>
          <w:szCs w:val="24"/>
        </w:rPr>
      </w:pPr>
      <w:bookmarkStart w:id="42" w:name="_Toc163910305"/>
      <w:r>
        <w:rPr>
          <w:rFonts w:ascii="Times New Roman" w:hAnsi="Times New Roman" w:eastAsia="黑体" w:cs="Times New Roman"/>
          <w:b/>
          <w:sz w:val="22"/>
          <w:szCs w:val="24"/>
        </w:rPr>
        <w:t>(3) Policy Support</w:t>
      </w:r>
      <w:bookmarkEnd w:id="42"/>
    </w:p>
    <w:p w14:paraId="1CCD8844">
      <w:pPr>
        <w:pStyle w:val="85"/>
        <w:numPr>
          <w:ilvl w:val="0"/>
          <w:numId w:val="3"/>
        </w:numPr>
        <w:ind w:left="426" w:hanging="142" w:firstLineChars="0"/>
        <w:rPr>
          <w:i/>
          <w:iCs/>
        </w:rPr>
      </w:pPr>
      <w:r>
        <w:rPr>
          <w:i/>
          <w:iCs/>
        </w:rPr>
        <w:t>Opinions of the General Office of People’s Government of Hunan Province on Substantially Improving Mineral Resource Security Capacity and Deeply Promoting the Green and High-Quality Development of Mining Industry</w:t>
      </w:r>
    </w:p>
    <w:p w14:paraId="33DFBB92">
      <w:pPr>
        <w:pStyle w:val="85"/>
        <w:ind w:left="426" w:firstLine="0" w:firstLineChars="0"/>
        <w:rPr>
          <w:i/>
          <w:iCs/>
        </w:rPr>
      </w:pPr>
      <w:r>
        <w:rPr>
          <w:iCs/>
        </w:rPr>
        <mc:AlternateContent>
          <mc:Choice Requires="wps">
            <w:drawing>
              <wp:anchor distT="0" distB="0" distL="114300" distR="114300" simplePos="0" relativeHeight="251661312" behindDoc="0" locked="0" layoutInCell="1" allowOverlap="1">
                <wp:simplePos x="0" y="0"/>
                <wp:positionH relativeFrom="column">
                  <wp:posOffset>3175</wp:posOffset>
                </wp:positionH>
                <wp:positionV relativeFrom="paragraph">
                  <wp:posOffset>142875</wp:posOffset>
                </wp:positionV>
                <wp:extent cx="3971925" cy="2353945"/>
                <wp:effectExtent l="6350" t="156210" r="14605" b="19685"/>
                <wp:wrapNone/>
                <wp:docPr id="6" name="矩形标注 32"/>
                <wp:cNvGraphicFramePr/>
                <a:graphic xmlns:a="http://schemas.openxmlformats.org/drawingml/2006/main">
                  <a:graphicData uri="http://schemas.microsoft.com/office/word/2010/wordprocessingShape">
                    <wps:wsp>
                      <wps:cNvSpPr/>
                      <wps:spPr>
                        <a:xfrm>
                          <a:off x="0" y="0"/>
                          <a:ext cx="3971925" cy="2353945"/>
                        </a:xfrm>
                        <a:prstGeom prst="wedgeRectCallout">
                          <a:avLst>
                            <a:gd name="adj1" fmla="val -41856"/>
                            <a:gd name="adj2" fmla="val -56181"/>
                          </a:avLst>
                        </a:prstGeom>
                        <a:solidFill>
                          <a:srgbClr val="E2EFD9"/>
                        </a:solidFill>
                        <a:ln w="12700" cap="flat" cmpd="sng">
                          <a:solidFill>
                            <a:srgbClr val="A8D08D"/>
                          </a:solidFill>
                          <a:prstDash val="solid"/>
                          <a:miter/>
                          <a:headEnd type="none" w="med" len="med"/>
                          <a:tailEnd type="none" w="med" len="med"/>
                        </a:ln>
                      </wps:spPr>
                      <wps:txbx>
                        <w:txbxContent>
                          <w:p w14:paraId="111BFC10">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077DD427">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Enhanced Mining Rights Market: </w:t>
                            </w:r>
                            <w:r>
                              <w:rPr>
                                <w:rFonts w:ascii="Times New Roman" w:hAnsi="Times New Roman" w:cs="Times New Roman"/>
                                <w:color w:val="3F3F3F" w:themeColor="text1" w:themeTint="BF"/>
                                <w:sz w:val="18"/>
                                <w:szCs w:val="18"/>
                              </w:rPr>
                              <w:t>We have rolled out a well-designed plan for mining rights transfer and adhering to refine the mining rights trading system. In the open bidding process for mining rights, requirements are specified for the deep processing of mineral resources and supporting industries within the mining sector.</w:t>
                            </w:r>
                          </w:p>
                          <w:p w14:paraId="61761903">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Advanced Reform in Mining Rights Transfer System: </w:t>
                            </w:r>
                            <w:r>
                              <w:rPr>
                                <w:rFonts w:ascii="Times New Roman" w:hAnsi="Times New Roman" w:cs="Times New Roman"/>
                                <w:color w:val="3F3F3F" w:themeColor="text1" w:themeTint="BF"/>
                                <w:sz w:val="18"/>
                                <w:szCs w:val="18"/>
                              </w:rPr>
                              <w:t xml:space="preserve">Promoting competitive bidding for mining rights on all fronts. Rare earth and radioactive mineral exploration and development projects or projects designated as key projects by the State Council can be transferred to specific entities through negotiated agreements. </w:t>
                            </w:r>
                          </w:p>
                          <w:p w14:paraId="24EB2410">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Adjustments to Proceeds Collection &amp; Management System for Mining Rights Transfer: </w:t>
                            </w:r>
                            <w:r>
                              <w:rPr>
                                <w:rFonts w:ascii="Times New Roman" w:hAnsi="Times New Roman" w:cs="Times New Roman"/>
                                <w:color w:val="3F3F3F" w:themeColor="text1" w:themeTint="BF"/>
                                <w:sz w:val="18"/>
                                <w:szCs w:val="18"/>
                              </w:rPr>
                              <w:t>To alleviate the burden on mining enterprises and mitigate exploration risks, rules for starting bid prices of mining rights transfers in Hunan Province are established. Additionally, for 144 types of minerals, proceeds from mining rights transfer will be calculated and collected annually based on sales revenue and specified profit rates; for transfer proceeds of other types, installments are allowed with a reduced initial payment; the remaining revenue collection will be ceased for non-transferable exploration rights.</w:t>
                            </w:r>
                          </w:p>
                        </w:txbxContent>
                      </wps:txbx>
                      <wps:bodyPr anchor="ctr" anchorCtr="0" upright="1"/>
                    </wps:wsp>
                  </a:graphicData>
                </a:graphic>
              </wp:anchor>
            </w:drawing>
          </mc:Choice>
          <mc:Fallback>
            <w:pict>
              <v:shape id="矩形标注 32" o:spid="_x0000_s1026" o:spt="61" type="#_x0000_t61" style="position:absolute;left:0pt;margin-left:0.25pt;margin-top:11.25pt;height:185.35pt;width:312.75pt;z-index:251661312;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" adj="1759,-1335">
                <v:fill on="t" focussize="0,0"/>
                <v:stroke weight="1pt" color="#A8D08D" joinstyle="miter"/>
                <v:imagedata o:title=""/>
                <o:lock v:ext="edit" aspectratio="f"/>
                <v:textbox>
                  <w:txbxContent>
                    <w:p w14:paraId="111BFC10">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077DD427">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Enhanced Mining Rights Market: </w:t>
                      </w:r>
                      <w:r>
                        <w:rPr>
                          <w:rFonts w:ascii="Times New Roman" w:hAnsi="Times New Roman" w:cs="Times New Roman"/>
                          <w:color w:val="3F3F3F" w:themeColor="text1" w:themeTint="BF"/>
                          <w:sz w:val="18"/>
                          <w:szCs w:val="18"/>
                        </w:rPr>
                        <w:t>We have rolled out a well-designed plan for mining rights transfer and adhering to refine the mining rights trading system. In the open bidding process for mining rights, requirements are specified for the deep processing of mineral resources and supporting industries within the mining sector.</w:t>
                      </w:r>
                    </w:p>
                    <w:p w14:paraId="61761903">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Advanced Reform in Mining Rights Transfer System: </w:t>
                      </w:r>
                      <w:r>
                        <w:rPr>
                          <w:rFonts w:ascii="Times New Roman" w:hAnsi="Times New Roman" w:cs="Times New Roman"/>
                          <w:color w:val="3F3F3F" w:themeColor="text1" w:themeTint="BF"/>
                          <w:sz w:val="18"/>
                          <w:szCs w:val="18"/>
                        </w:rPr>
                        <w:t xml:space="preserve">Promoting competitive bidding for mining rights on all fronts. Rare earth and radioactive mineral exploration and development projects or projects designated as key projects by the State Council can be transferred to specific entities through negotiated agreements. </w:t>
                      </w:r>
                    </w:p>
                    <w:p w14:paraId="24EB2410">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Adjustments to Proceeds Collection &amp; Management System for Mining Rights Transfer: </w:t>
                      </w:r>
                      <w:r>
                        <w:rPr>
                          <w:rFonts w:ascii="Times New Roman" w:hAnsi="Times New Roman" w:cs="Times New Roman"/>
                          <w:color w:val="3F3F3F" w:themeColor="text1" w:themeTint="BF"/>
                          <w:sz w:val="18"/>
                          <w:szCs w:val="18"/>
                        </w:rPr>
                        <w:t>To alleviate the burden on mining enterprises and mitigate exploration risks, rules for starting bid prices of mining rights transfers in Hunan Province are established. Additionally, for 144 types of minerals, proceeds from mining rights transfer will be calculated and collected annually based on sales revenue and specified profit rates; for transfer proceeds of other types, installments are allowed with a reduced initial payment; the remaining revenue collection will be ceased for non-transferable exploration rights.</w:t>
                      </w:r>
                    </w:p>
                  </w:txbxContent>
                </v:textbox>
              </v:shape>
            </w:pict>
          </mc:Fallback>
        </mc:AlternateContent>
      </w:r>
    </w:p>
    <w:p w14:paraId="577C6D75">
      <w:pPr>
        <w:pStyle w:val="85"/>
        <w:ind w:left="426" w:firstLine="0" w:firstLineChars="0"/>
        <w:rPr>
          <w:i/>
          <w:iCs/>
        </w:rPr>
      </w:pPr>
    </w:p>
    <w:p w14:paraId="63EFE543">
      <w:pPr>
        <w:pStyle w:val="85"/>
        <w:ind w:left="426" w:firstLine="0" w:firstLineChars="0"/>
        <w:rPr>
          <w:i/>
          <w:iCs/>
        </w:rPr>
      </w:pPr>
    </w:p>
    <w:p w14:paraId="1FF78E44">
      <w:pPr>
        <w:pStyle w:val="85"/>
        <w:ind w:left="426" w:firstLine="0" w:firstLineChars="0"/>
        <w:rPr>
          <w:i/>
          <w:iCs/>
        </w:rPr>
      </w:pPr>
    </w:p>
    <w:p w14:paraId="6AC436A9">
      <w:pPr>
        <w:pStyle w:val="85"/>
        <w:ind w:left="426" w:firstLine="0" w:firstLineChars="0"/>
        <w:rPr>
          <w:i/>
          <w:iCs/>
        </w:rPr>
      </w:pPr>
    </w:p>
    <w:p w14:paraId="26A1FB7E">
      <w:pPr>
        <w:pStyle w:val="85"/>
        <w:ind w:left="426" w:firstLine="0" w:firstLineChars="0"/>
        <w:rPr>
          <w:i/>
          <w:iCs/>
        </w:rPr>
      </w:pPr>
    </w:p>
    <w:p w14:paraId="1528E423">
      <w:pPr>
        <w:pStyle w:val="85"/>
        <w:ind w:left="426" w:firstLine="0" w:firstLineChars="0"/>
        <w:rPr>
          <w:i/>
          <w:iCs/>
        </w:rPr>
      </w:pPr>
    </w:p>
    <w:p w14:paraId="6A2E6E6B">
      <w:pPr>
        <w:pStyle w:val="85"/>
        <w:ind w:left="426" w:firstLine="0" w:firstLineChars="0"/>
        <w:rPr>
          <w:i/>
          <w:iCs/>
        </w:rPr>
      </w:pPr>
    </w:p>
    <w:p w14:paraId="4C530900">
      <w:pPr>
        <w:pStyle w:val="85"/>
        <w:ind w:left="426" w:firstLine="0" w:firstLineChars="0"/>
        <w:rPr>
          <w:i/>
          <w:iCs/>
        </w:rPr>
      </w:pPr>
    </w:p>
    <w:p w14:paraId="7231F434">
      <w:pPr>
        <w:pStyle w:val="85"/>
        <w:ind w:left="426" w:firstLine="0" w:firstLineChars="0"/>
        <w:rPr>
          <w:i/>
          <w:iCs/>
        </w:rPr>
      </w:pPr>
    </w:p>
    <w:p w14:paraId="729D76DA">
      <w:pPr>
        <w:pStyle w:val="85"/>
        <w:ind w:left="426" w:firstLine="0" w:firstLineChars="0"/>
        <w:rPr>
          <w:i/>
          <w:iCs/>
        </w:rPr>
      </w:pPr>
    </w:p>
    <w:p w14:paraId="1A03CA88">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79744" behindDoc="0" locked="0" layoutInCell="1" allowOverlap="1">
                <wp:simplePos x="0" y="0"/>
                <wp:positionH relativeFrom="margin">
                  <wp:posOffset>3062605</wp:posOffset>
                </wp:positionH>
                <wp:positionV relativeFrom="margin">
                  <wp:posOffset>73660</wp:posOffset>
                </wp:positionV>
                <wp:extent cx="914400" cy="962025"/>
                <wp:effectExtent l="6350" t="6350" r="8890" b="6985"/>
                <wp:wrapSquare wrapText="bothSides"/>
                <wp:docPr id="41" name="文本框 5"/>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1097EF62">
                            <w:pPr>
                              <w:pStyle w:val="92"/>
                              <w:adjustRightInd w:val="0"/>
                            </w:pPr>
                            <w:r>
                              <w:drawing>
                                <wp:inline distT="0" distB="0" distL="0" distR="0">
                                  <wp:extent cx="722630" cy="722630"/>
                                  <wp:effectExtent l="0" t="0" r="1270" b="127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45">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466E990A">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52B8EB1C">
                            <w:pPr>
                              <w:pStyle w:val="92"/>
                              <w:adjustRightInd w:val="0"/>
                            </w:pPr>
                          </w:p>
                        </w:txbxContent>
                      </wps:txbx>
                      <wps:bodyPr upright="1"/>
                    </wps:wsp>
                  </a:graphicData>
                </a:graphic>
              </wp:anchor>
            </w:drawing>
          </mc:Choice>
          <mc:Fallback>
            <w:pict>
              <v:shape id="文本框 5" o:spid="_x0000_s1026" o:spt="202" type="#_x0000_t202" style="position:absolute;left:0pt;margin-left:241.15pt;margin-top:5.8pt;height:75.75pt;width:72pt;mso-position-horizontal-relative:margin;mso-position-vertical-relative:margin;mso-wrap-distance-bottom:0pt;mso-wrap-distance-left:9pt;mso-wrap-distance-right:9pt;mso-wrap-distance-top:0pt;z-index:251679744;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">
                <v:fill on="f" focussize="0,0"/>
                <v:stroke weight="1pt" color="#A8D08D" joinstyle="miter"/>
                <v:imagedata o:title=""/>
                <o:lock v:ext="edit" aspectratio="f"/>
                <v:textbox>
                  <w:txbxContent>
                    <w:p w14:paraId="1097EF62">
                      <w:pPr>
                        <w:pStyle w:val="92"/>
                        <w:adjustRightInd w:val="0"/>
                      </w:pPr>
                      <w:r>
                        <w:drawing>
                          <wp:inline distT="0" distB="0" distL="0" distR="0">
                            <wp:extent cx="722630" cy="722630"/>
                            <wp:effectExtent l="0" t="0" r="1270" b="127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45">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466E990A">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52B8EB1C">
                      <w:pPr>
                        <w:pStyle w:val="92"/>
                        <w:adjustRightInd w:val="0"/>
                      </w:pPr>
                    </w:p>
                  </w:txbxContent>
                </v:textbox>
                <w10:wrap type="square"/>
              </v:shape>
            </w:pict>
          </mc:Fallback>
        </mc:AlternateContent>
      </w:r>
      <w:r>
        <w:rPr>
          <w:i/>
          <w:iCs/>
        </w:rPr>
        <w:t>Overall Plan of Mineral Resources in Hunan Province (2021-2025)</w:t>
      </w:r>
    </w:p>
    <w:p w14:paraId="2AC20234">
      <w:pPr>
        <w:pStyle w:val="85"/>
        <w:numPr>
          <w:ilvl w:val="0"/>
          <w:numId w:val="3"/>
        </w:numPr>
        <w:ind w:left="426" w:hanging="142" w:firstLineChars="0"/>
        <w:rPr>
          <w:i/>
          <w:iCs/>
        </w:rPr>
      </w:pPr>
      <w:r>
        <w:rPr>
          <w:i/>
          <w:iCs/>
        </w:rPr>
        <w:t>14th Five-Year Plan for the Development of Natural Resources in Hunan Province</w:t>
      </w:r>
    </w:p>
    <w:p w14:paraId="50BC9389">
      <w:pPr>
        <w:pStyle w:val="85"/>
        <w:numPr>
          <w:ilvl w:val="0"/>
          <w:numId w:val="3"/>
        </w:numPr>
        <w:ind w:left="426" w:hanging="142" w:firstLineChars="0"/>
        <w:rPr>
          <w:i/>
          <w:iCs/>
        </w:rPr>
      </w:pPr>
      <w:r>
        <w:rPr>
          <w:i/>
          <w:iCs/>
        </w:rPr>
        <w:t>14th Five-Year Plan for the Development of the Non-ferrous Metals Industry in Hunan Province</w:t>
      </w:r>
    </w:p>
    <w:p w14:paraId="15076FA2">
      <w:pPr>
        <w:pStyle w:val="85"/>
        <w:numPr>
          <w:ilvl w:val="0"/>
          <w:numId w:val="3"/>
        </w:numPr>
        <w:ind w:left="426" w:hanging="142" w:firstLineChars="0"/>
        <w:rPr>
          <w:i/>
          <w:iCs/>
        </w:rPr>
      </w:pPr>
      <w:r>
        <w:rPr>
          <w:i/>
          <w:iCs/>
        </w:rPr>
        <w:t>14th Five-Year Plan for the Development of the Metallurgical Industry in Hunan Province</w:t>
      </w:r>
    </w:p>
    <w:p w14:paraId="4C682F10">
      <w:pPr>
        <w:pStyle w:val="85"/>
        <w:numPr>
          <w:ilvl w:val="0"/>
          <w:numId w:val="3"/>
        </w:numPr>
        <w:ind w:left="426" w:hanging="142" w:firstLineChars="0"/>
        <w:rPr>
          <w:i/>
          <w:iCs/>
        </w:rPr>
      </w:pPr>
      <w:r>
        <w:rPr>
          <w:i/>
          <w:iCs/>
        </w:rPr>
        <w:t>14th Five-Year Plan for the Development of the Building Materials Industry in Hunan Province</w:t>
      </w:r>
    </w:p>
    <w:p w14:paraId="7A2C2C7C">
      <w:pPr>
        <w:adjustRightInd w:val="0"/>
        <w:snapToGrid w:val="0"/>
        <w:spacing w:beforeLines="50" w:afterLines="20"/>
        <w:jc w:val="center"/>
        <w:rPr>
          <w:rFonts w:ascii="Times New Roman" w:hAnsi="Times New Roman" w:eastAsia="仿宋" w:cs="Times New Roman"/>
          <w:sz w:val="18"/>
          <w:szCs w:val="16"/>
        </w:rPr>
      </w:pPr>
      <w:bookmarkStart w:id="43" w:name="_Toc129010567"/>
      <w:bookmarkStart w:id="44" w:name="_Toc130837920"/>
      <w:bookmarkStart w:id="45" w:name="_Toc131156275"/>
      <w:bookmarkStart w:id="46" w:name="_Toc29107"/>
      <w:bookmarkStart w:id="47" w:name="_Toc130669144"/>
      <w:bookmarkStart w:id="48" w:name="_Toc130837023"/>
      <w:bookmarkStart w:id="49" w:name="_Toc128041743"/>
      <w:bookmarkStart w:id="50" w:name="_Toc128033711"/>
      <w:bookmarkStart w:id="51" w:name="_Toc129701361"/>
      <w:r>
        <w:rPr>
          <w:rFonts w:ascii="Times New Roman" w:hAnsi="Times New Roman" w:eastAsia="仿宋" w:cs="Times New Roman"/>
          <w:sz w:val="18"/>
          <w:szCs w:val="20"/>
        </w:rPr>
        <w:t>Funds supporting the green mining industry</w:t>
      </w:r>
    </w:p>
    <w:tbl>
      <w:tblPr>
        <w:tblStyle w:val="45"/>
        <w:tblW w:w="5000" w:type="pct"/>
        <w:jc w:val="center"/>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Layout w:type="autofit"/>
        <w:tblCellMar>
          <w:top w:w="0" w:type="dxa"/>
          <w:left w:w="108" w:type="dxa"/>
          <w:bottom w:w="0" w:type="dxa"/>
          <w:right w:w="108" w:type="dxa"/>
        </w:tblCellMar>
      </w:tblPr>
      <w:tblGrid>
        <w:gridCol w:w="401"/>
        <w:gridCol w:w="1194"/>
        <w:gridCol w:w="1816"/>
        <w:gridCol w:w="545"/>
        <w:gridCol w:w="873"/>
        <w:gridCol w:w="1618"/>
      </w:tblGrid>
      <w:tr w14:paraId="724471A1">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blHeader/>
          <w:jc w:val="center"/>
        </w:trPr>
        <w:tc>
          <w:tcPr>
            <w:tcW w:w="338" w:type="pct"/>
            <w:vAlign w:val="center"/>
          </w:tcPr>
          <w:p w14:paraId="01AE8CF1">
            <w:pPr>
              <w:adjustRightInd w:val="0"/>
              <w:snapToGrid w:val="0"/>
              <w:ind w:left="-105" w:leftChars="-50" w:right="-105" w:rightChars="-50"/>
              <w:jc w:val="center"/>
              <w:rPr>
                <w:rFonts w:ascii="Times New Roman" w:hAnsi="Times New Roman" w:eastAsia="仿宋" w:cs="Times New Roman"/>
                <w:b/>
                <w:bCs/>
                <w:kern w:val="0"/>
                <w:sz w:val="18"/>
                <w:szCs w:val="18"/>
              </w:rPr>
            </w:pPr>
            <w:r>
              <w:rPr>
                <w:rFonts w:ascii="Times New Roman" w:hAnsi="Times New Roman" w:eastAsia="仿宋" w:cs="Times New Roman"/>
                <w:b/>
                <w:bCs/>
                <w:kern w:val="0"/>
                <w:sz w:val="18"/>
                <w:szCs w:val="18"/>
              </w:rPr>
              <w:t>No.</w:t>
            </w:r>
          </w:p>
        </w:tc>
        <w:tc>
          <w:tcPr>
            <w:tcW w:w="953" w:type="pct"/>
            <w:vAlign w:val="center"/>
          </w:tcPr>
          <w:p w14:paraId="122BEEED">
            <w:pPr>
              <w:adjustRightInd w:val="0"/>
              <w:snapToGrid w:val="0"/>
              <w:ind w:left="-105" w:leftChars="-50" w:right="-105" w:rightChars="-50"/>
              <w:jc w:val="center"/>
              <w:rPr>
                <w:rFonts w:ascii="Times New Roman" w:hAnsi="Times New Roman" w:eastAsia="仿宋" w:cs="Times New Roman"/>
                <w:b/>
                <w:bCs/>
                <w:kern w:val="0"/>
                <w:sz w:val="18"/>
                <w:szCs w:val="18"/>
              </w:rPr>
            </w:pPr>
            <w:r>
              <w:rPr>
                <w:rFonts w:ascii="Times New Roman" w:hAnsi="Times New Roman" w:eastAsia="仿宋" w:cs="Times New Roman"/>
                <w:b/>
                <w:bCs/>
                <w:kern w:val="0"/>
                <w:sz w:val="18"/>
                <w:szCs w:val="18"/>
              </w:rPr>
              <w:t>Fund</w:t>
            </w:r>
          </w:p>
        </w:tc>
        <w:tc>
          <w:tcPr>
            <w:tcW w:w="1274" w:type="pct"/>
            <w:vAlign w:val="center"/>
          </w:tcPr>
          <w:p w14:paraId="4CAAD238">
            <w:pPr>
              <w:adjustRightInd w:val="0"/>
              <w:snapToGrid w:val="0"/>
              <w:ind w:left="-105" w:leftChars="-50" w:right="-105" w:rightChars="-50"/>
              <w:jc w:val="center"/>
              <w:rPr>
                <w:rFonts w:ascii="Times New Roman" w:hAnsi="Times New Roman" w:eastAsia="仿宋" w:cs="Times New Roman"/>
                <w:b/>
                <w:bCs/>
                <w:kern w:val="0"/>
                <w:sz w:val="18"/>
                <w:szCs w:val="18"/>
              </w:rPr>
            </w:pPr>
            <w:r>
              <w:rPr>
                <w:rFonts w:ascii="Times New Roman" w:hAnsi="Times New Roman" w:eastAsia="仿宋" w:cs="Times New Roman"/>
                <w:b/>
                <w:bCs/>
                <w:kern w:val="0"/>
                <w:sz w:val="18"/>
                <w:szCs w:val="18"/>
              </w:rPr>
              <w:t>Sector</w:t>
            </w:r>
          </w:p>
        </w:tc>
        <w:tc>
          <w:tcPr>
            <w:tcW w:w="450" w:type="pct"/>
            <w:vAlign w:val="center"/>
          </w:tcPr>
          <w:p w14:paraId="23F57164">
            <w:pPr>
              <w:adjustRightInd w:val="0"/>
              <w:snapToGrid w:val="0"/>
              <w:ind w:left="-105" w:leftChars="-50" w:right="-105" w:rightChars="-50"/>
              <w:jc w:val="center"/>
              <w:rPr>
                <w:rFonts w:ascii="Times New Roman" w:hAnsi="Times New Roman" w:eastAsia="仿宋" w:cs="Times New Roman"/>
                <w:b/>
                <w:bCs/>
                <w:kern w:val="0"/>
                <w:sz w:val="18"/>
                <w:szCs w:val="18"/>
              </w:rPr>
            </w:pPr>
            <w:r>
              <w:rPr>
                <w:rFonts w:ascii="Times New Roman" w:hAnsi="Times New Roman" w:eastAsia="仿宋" w:cs="Times New Roman"/>
                <w:b/>
                <w:bCs/>
                <w:kern w:val="0"/>
                <w:sz w:val="18"/>
                <w:szCs w:val="18"/>
              </w:rPr>
              <w:t>Est. Time</w:t>
            </w:r>
          </w:p>
        </w:tc>
        <w:tc>
          <w:tcPr>
            <w:tcW w:w="704" w:type="pct"/>
            <w:vAlign w:val="center"/>
          </w:tcPr>
          <w:p w14:paraId="7D2B1526">
            <w:pPr>
              <w:adjustRightInd w:val="0"/>
              <w:snapToGrid w:val="0"/>
              <w:ind w:left="-105" w:leftChars="-50" w:right="-105" w:rightChars="-50"/>
              <w:jc w:val="center"/>
              <w:rPr>
                <w:rFonts w:ascii="Times New Roman" w:hAnsi="Times New Roman" w:eastAsia="仿宋" w:cs="Times New Roman"/>
                <w:b/>
                <w:bCs/>
                <w:kern w:val="0"/>
                <w:sz w:val="18"/>
                <w:szCs w:val="18"/>
              </w:rPr>
            </w:pPr>
            <w:r>
              <w:rPr>
                <w:rFonts w:ascii="Times New Roman" w:hAnsi="Times New Roman" w:eastAsia="仿宋" w:cs="Times New Roman"/>
                <w:b/>
                <w:bCs/>
                <w:kern w:val="0"/>
                <w:sz w:val="18"/>
                <w:szCs w:val="18"/>
              </w:rPr>
              <w:t>Scale (RMB)</w:t>
            </w:r>
          </w:p>
        </w:tc>
        <w:tc>
          <w:tcPr>
            <w:tcW w:w="1281" w:type="pct"/>
            <w:vAlign w:val="center"/>
          </w:tcPr>
          <w:p w14:paraId="793E8E97">
            <w:pPr>
              <w:adjustRightInd w:val="0"/>
              <w:snapToGrid w:val="0"/>
              <w:ind w:left="-105" w:leftChars="-50" w:right="-105" w:rightChars="-50"/>
              <w:jc w:val="center"/>
              <w:rPr>
                <w:rFonts w:ascii="Times New Roman" w:hAnsi="Times New Roman" w:eastAsia="仿宋" w:cs="Times New Roman"/>
                <w:b/>
                <w:bCs/>
                <w:kern w:val="0"/>
                <w:sz w:val="18"/>
                <w:szCs w:val="18"/>
              </w:rPr>
            </w:pPr>
            <w:r>
              <w:rPr>
                <w:rFonts w:ascii="Times New Roman" w:hAnsi="Times New Roman" w:eastAsia="仿宋" w:cs="Times New Roman"/>
                <w:b/>
                <w:bCs/>
                <w:kern w:val="0"/>
                <w:sz w:val="18"/>
                <w:szCs w:val="18"/>
              </w:rPr>
              <w:t>Remarks</w:t>
            </w:r>
          </w:p>
        </w:tc>
      </w:tr>
      <w:tr w14:paraId="34E6925B">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2719" w:hRule="atLeast"/>
          <w:jc w:val="center"/>
        </w:trPr>
        <w:tc>
          <w:tcPr>
            <w:tcW w:w="338" w:type="pct"/>
            <w:shd w:val="clear" w:color="auto" w:fill="EAF1DD"/>
            <w:vAlign w:val="center"/>
          </w:tcPr>
          <w:p w14:paraId="7859239E">
            <w:pPr>
              <w:adjustRightInd w:val="0"/>
              <w:snapToGrid w:val="0"/>
              <w:ind w:left="-105" w:leftChars="-50" w:right="-105" w:rightChars="-50"/>
              <w:jc w:val="center"/>
              <w:rPr>
                <w:rFonts w:ascii="Times New Roman" w:hAnsi="Times New Roman" w:eastAsia="仿宋" w:cs="Times New Roman"/>
                <w:b w:val="0"/>
                <w:bCs w:val="0"/>
                <w:kern w:val="0"/>
                <w:sz w:val="18"/>
                <w:szCs w:val="18"/>
              </w:rPr>
            </w:pPr>
            <w:r>
              <w:rPr>
                <w:rFonts w:ascii="Times New Roman" w:hAnsi="Times New Roman" w:eastAsia="仿宋" w:cs="Times New Roman"/>
                <w:b w:val="0"/>
                <w:bCs w:val="0"/>
                <w:kern w:val="0"/>
                <w:sz w:val="18"/>
                <w:szCs w:val="18"/>
              </w:rPr>
              <w:t>1</w:t>
            </w:r>
          </w:p>
        </w:tc>
        <w:tc>
          <w:tcPr>
            <w:tcW w:w="953" w:type="pct"/>
            <w:shd w:val="clear" w:color="auto" w:fill="EAF1DD"/>
            <w:vAlign w:val="center"/>
          </w:tcPr>
          <w:p w14:paraId="228CD57C">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Hunan Provincial Geological Survey Fund</w:t>
            </w:r>
          </w:p>
        </w:tc>
        <w:tc>
          <w:tcPr>
            <w:tcW w:w="1274" w:type="pct"/>
            <w:shd w:val="clear" w:color="auto" w:fill="EAF1DD"/>
            <w:vAlign w:val="center"/>
          </w:tcPr>
          <w:p w14:paraId="027E4F66">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Exploration of strategic mineral species such as lithium, gold, manganese, tungsten, tin and antimony</w:t>
            </w:r>
          </w:p>
        </w:tc>
        <w:tc>
          <w:tcPr>
            <w:tcW w:w="450" w:type="pct"/>
            <w:shd w:val="clear" w:color="auto" w:fill="EAF1DD"/>
            <w:vAlign w:val="center"/>
          </w:tcPr>
          <w:p w14:paraId="57A4D932">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2023</w:t>
            </w:r>
          </w:p>
        </w:tc>
        <w:tc>
          <w:tcPr>
            <w:tcW w:w="704" w:type="pct"/>
            <w:shd w:val="clear" w:color="auto" w:fill="EAF1DD"/>
            <w:vAlign w:val="center"/>
          </w:tcPr>
          <w:p w14:paraId="4A917395">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 billion expected; phase Ⅰ: 600 million</w:t>
            </w:r>
          </w:p>
        </w:tc>
        <w:tc>
          <w:tcPr>
            <w:tcW w:w="1281" w:type="pct"/>
            <w:shd w:val="clear" w:color="auto" w:fill="EAF1DD"/>
            <w:vAlign w:val="center"/>
          </w:tcPr>
          <w:p w14:paraId="44A3CAC9">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Jointly initiated by Hunan Provincial Department of Finance and Hunan Provincial Department of Natural Resources, in partnership with Hunan Provincial Geological Bureau and Chasing Financial Holdings</w:t>
            </w:r>
          </w:p>
        </w:tc>
      </w:tr>
      <w:tr w14:paraId="503BDCC8">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1648" w:hRule="atLeast"/>
          <w:jc w:val="center"/>
        </w:trPr>
        <w:tc>
          <w:tcPr>
            <w:tcW w:w="338" w:type="pct"/>
            <w:vAlign w:val="center"/>
          </w:tcPr>
          <w:p w14:paraId="389A5B3E">
            <w:pPr>
              <w:adjustRightInd w:val="0"/>
              <w:snapToGrid w:val="0"/>
              <w:ind w:left="-105" w:leftChars="-50" w:right="-105" w:rightChars="-50"/>
              <w:jc w:val="center"/>
              <w:rPr>
                <w:rFonts w:ascii="Times New Roman" w:hAnsi="Times New Roman" w:eastAsia="仿宋" w:cs="Times New Roman"/>
                <w:b w:val="0"/>
                <w:bCs w:val="0"/>
                <w:kern w:val="0"/>
                <w:sz w:val="18"/>
                <w:szCs w:val="18"/>
              </w:rPr>
            </w:pPr>
            <w:r>
              <w:rPr>
                <w:rFonts w:ascii="Times New Roman" w:hAnsi="Times New Roman" w:eastAsia="仿宋" w:cs="Times New Roman"/>
                <w:b w:val="0"/>
                <w:bCs w:val="0"/>
                <w:kern w:val="0"/>
                <w:sz w:val="18"/>
                <w:szCs w:val="18"/>
              </w:rPr>
              <w:t>2</w:t>
            </w:r>
          </w:p>
        </w:tc>
        <w:tc>
          <w:tcPr>
            <w:tcW w:w="953" w:type="pct"/>
            <w:vAlign w:val="center"/>
          </w:tcPr>
          <w:p w14:paraId="0F095F35">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Changsha Industrial Development Fund of Funds (FOF)</w:t>
            </w:r>
          </w:p>
        </w:tc>
        <w:tc>
          <w:tcPr>
            <w:tcW w:w="1274" w:type="pct"/>
            <w:vAlign w:val="center"/>
          </w:tcPr>
          <w:p w14:paraId="5453F724">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Changsha’s 22 industrial and emerging competitive industrial chains and “1+2+N” advanced manufacturing clusters, including prefabricated buildings</w:t>
            </w:r>
          </w:p>
        </w:tc>
        <w:tc>
          <w:tcPr>
            <w:tcW w:w="450" w:type="pct"/>
            <w:vAlign w:val="center"/>
          </w:tcPr>
          <w:p w14:paraId="0AB1A921">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2023</w:t>
            </w:r>
          </w:p>
        </w:tc>
        <w:tc>
          <w:tcPr>
            <w:tcW w:w="704" w:type="pct"/>
            <w:vAlign w:val="center"/>
          </w:tcPr>
          <w:p w14:paraId="50BC6B8F">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30 billion</w:t>
            </w:r>
          </w:p>
        </w:tc>
        <w:tc>
          <w:tcPr>
            <w:tcW w:w="1281" w:type="pct"/>
            <w:vAlign w:val="center"/>
          </w:tcPr>
          <w:p w14:paraId="6C9FB0EB">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Established under the leadership of Changsha Investment Holding Group</w:t>
            </w:r>
          </w:p>
        </w:tc>
      </w:tr>
      <w:tr w14:paraId="6EE2D46D">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jc w:val="center"/>
        </w:trPr>
        <w:tc>
          <w:tcPr>
            <w:tcW w:w="338" w:type="pct"/>
            <w:shd w:val="clear" w:color="auto" w:fill="EAF1DD"/>
            <w:vAlign w:val="center"/>
          </w:tcPr>
          <w:p w14:paraId="3FE6894D">
            <w:pPr>
              <w:adjustRightInd w:val="0"/>
              <w:snapToGrid w:val="0"/>
              <w:ind w:left="-105" w:leftChars="-50" w:right="-105" w:rightChars="-50"/>
              <w:jc w:val="center"/>
              <w:rPr>
                <w:rFonts w:ascii="Times New Roman" w:hAnsi="Times New Roman" w:eastAsia="仿宋" w:cs="Times New Roman"/>
                <w:b w:val="0"/>
                <w:bCs w:val="0"/>
                <w:kern w:val="0"/>
                <w:sz w:val="18"/>
                <w:szCs w:val="18"/>
              </w:rPr>
            </w:pPr>
            <w:r>
              <w:rPr>
                <w:rFonts w:ascii="Times New Roman" w:hAnsi="Times New Roman" w:eastAsia="仿宋" w:cs="Times New Roman"/>
                <w:b w:val="0"/>
                <w:bCs w:val="0"/>
                <w:kern w:val="0"/>
                <w:sz w:val="18"/>
                <w:szCs w:val="18"/>
              </w:rPr>
              <w:t>3</w:t>
            </w:r>
          </w:p>
        </w:tc>
        <w:tc>
          <w:tcPr>
            <w:tcW w:w="953" w:type="pct"/>
            <w:shd w:val="clear" w:color="auto" w:fill="EAF1DD"/>
            <w:vAlign w:val="center"/>
          </w:tcPr>
          <w:p w14:paraId="7207CD5C">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Zhuzhou Advanced Industry Cluster Development Fund of Funds (FOF)</w:t>
            </w:r>
          </w:p>
        </w:tc>
        <w:tc>
          <w:tcPr>
            <w:tcW w:w="1274" w:type="pct"/>
            <w:shd w:val="clear" w:color="auto" w:fill="EAF1DD"/>
            <w:vAlign w:val="center"/>
          </w:tcPr>
          <w:p w14:paraId="2B88877C">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13 iconic industrial chains, including advanced ceramics and new functional glass, energy-saving and environmentally-friendly and green prefabricated building, intelligent steel and modern logistics.</w:t>
            </w:r>
          </w:p>
        </w:tc>
        <w:tc>
          <w:tcPr>
            <w:tcW w:w="450" w:type="pct"/>
            <w:shd w:val="clear" w:color="auto" w:fill="EAF1DD"/>
            <w:vAlign w:val="center"/>
          </w:tcPr>
          <w:p w14:paraId="207B65AE">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2022</w:t>
            </w:r>
          </w:p>
        </w:tc>
        <w:tc>
          <w:tcPr>
            <w:tcW w:w="704" w:type="pct"/>
            <w:shd w:val="clear" w:color="auto" w:fill="EAF1DD"/>
            <w:vAlign w:val="center"/>
          </w:tcPr>
          <w:p w14:paraId="5486ACC5">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Phase Ⅰ: 5 billion</w:t>
            </w:r>
          </w:p>
        </w:tc>
        <w:tc>
          <w:tcPr>
            <w:tcW w:w="1281" w:type="pct"/>
            <w:shd w:val="clear" w:color="auto" w:fill="EAF1DD"/>
            <w:vAlign w:val="center"/>
          </w:tcPr>
          <w:p w14:paraId="1558CF66">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Established by Zhuzhou Municipal People's Government, with Hunan Chasing Financial Holdings and Zhuzhou state-owned enterprises as major sponsors.</w:t>
            </w:r>
          </w:p>
        </w:tc>
      </w:tr>
      <w:tr w14:paraId="0B522E70">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jc w:val="center"/>
        </w:trPr>
        <w:tc>
          <w:tcPr>
            <w:tcW w:w="338" w:type="pct"/>
            <w:vAlign w:val="center"/>
          </w:tcPr>
          <w:p w14:paraId="537C5A73">
            <w:pPr>
              <w:adjustRightInd w:val="0"/>
              <w:snapToGrid w:val="0"/>
              <w:ind w:left="-105" w:leftChars="-50" w:right="-105" w:rightChars="-50"/>
              <w:jc w:val="center"/>
              <w:rPr>
                <w:rFonts w:ascii="Times New Roman" w:hAnsi="Times New Roman" w:eastAsia="仿宋" w:cs="Times New Roman"/>
                <w:b w:val="0"/>
                <w:bCs w:val="0"/>
                <w:kern w:val="0"/>
                <w:sz w:val="18"/>
                <w:szCs w:val="18"/>
              </w:rPr>
            </w:pPr>
            <w:r>
              <w:rPr>
                <w:rFonts w:ascii="Times New Roman" w:hAnsi="Times New Roman" w:eastAsia="仿宋" w:cs="Times New Roman"/>
                <w:b w:val="0"/>
                <w:bCs w:val="0"/>
                <w:kern w:val="0"/>
                <w:sz w:val="18"/>
                <w:szCs w:val="18"/>
              </w:rPr>
              <w:t>4</w:t>
            </w:r>
          </w:p>
        </w:tc>
        <w:tc>
          <w:tcPr>
            <w:tcW w:w="953" w:type="pct"/>
            <w:vAlign w:val="center"/>
          </w:tcPr>
          <w:p w14:paraId="33808CED">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Hengyang Industrial Investment Fund</w:t>
            </w:r>
          </w:p>
        </w:tc>
        <w:tc>
          <w:tcPr>
            <w:tcW w:w="1274" w:type="pct"/>
            <w:vAlign w:val="center"/>
          </w:tcPr>
          <w:p w14:paraId="340A29B4">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Non-ferrous metal processing and salt-brine chemicals, etc.</w:t>
            </w:r>
          </w:p>
        </w:tc>
        <w:tc>
          <w:tcPr>
            <w:tcW w:w="450" w:type="pct"/>
            <w:vAlign w:val="center"/>
          </w:tcPr>
          <w:p w14:paraId="5DCB94B9">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2018</w:t>
            </w:r>
          </w:p>
        </w:tc>
        <w:tc>
          <w:tcPr>
            <w:tcW w:w="704" w:type="pct"/>
            <w:vAlign w:val="center"/>
          </w:tcPr>
          <w:p w14:paraId="12A2ECEC">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6 billion +</w:t>
            </w:r>
          </w:p>
        </w:tc>
        <w:tc>
          <w:tcPr>
            <w:tcW w:w="1281" w:type="pct"/>
            <w:vAlign w:val="center"/>
          </w:tcPr>
          <w:p w14:paraId="626C7F28">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The government has contributed 1.5 billion yuan as an industrial guiding fund and set up sub-funds through cooperation with other private capital.</w:t>
            </w:r>
          </w:p>
        </w:tc>
      </w:tr>
      <w:tr w14:paraId="3AE39AFC">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jc w:val="center"/>
        </w:trPr>
        <w:tc>
          <w:tcPr>
            <w:tcW w:w="338" w:type="pct"/>
            <w:shd w:val="clear" w:color="auto" w:fill="EAF1DD"/>
            <w:vAlign w:val="center"/>
          </w:tcPr>
          <w:p w14:paraId="07A1E9B0">
            <w:pPr>
              <w:adjustRightInd w:val="0"/>
              <w:snapToGrid w:val="0"/>
              <w:ind w:left="-105" w:leftChars="-50" w:right="-105" w:rightChars="-50"/>
              <w:jc w:val="center"/>
              <w:rPr>
                <w:rFonts w:ascii="Times New Roman" w:hAnsi="Times New Roman" w:eastAsia="仿宋" w:cs="Times New Roman"/>
                <w:b w:val="0"/>
                <w:bCs w:val="0"/>
                <w:kern w:val="0"/>
                <w:sz w:val="18"/>
                <w:szCs w:val="18"/>
              </w:rPr>
            </w:pPr>
            <w:r>
              <w:rPr>
                <w:rFonts w:ascii="Times New Roman" w:hAnsi="Times New Roman" w:eastAsia="仿宋" w:cs="Times New Roman"/>
                <w:b w:val="0"/>
                <w:bCs w:val="0"/>
                <w:kern w:val="0"/>
                <w:sz w:val="18"/>
                <w:szCs w:val="18"/>
              </w:rPr>
              <w:t>5</w:t>
            </w:r>
          </w:p>
        </w:tc>
        <w:tc>
          <w:tcPr>
            <w:tcW w:w="953" w:type="pct"/>
            <w:shd w:val="clear" w:color="auto" w:fill="EAF1DD"/>
            <w:vAlign w:val="center"/>
          </w:tcPr>
          <w:p w14:paraId="063BDB03">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Chenzhou Industrial Guidance Fund</w:t>
            </w:r>
          </w:p>
        </w:tc>
        <w:tc>
          <w:tcPr>
            <w:tcW w:w="1274" w:type="pct"/>
            <w:shd w:val="clear" w:color="auto" w:fill="EAF1DD"/>
            <w:vAlign w:val="center"/>
          </w:tcPr>
          <w:p w14:paraId="5940F904">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Non-ferrous metals, mineral gemstones and other leading industries in Chenzhou.</w:t>
            </w:r>
          </w:p>
        </w:tc>
        <w:tc>
          <w:tcPr>
            <w:tcW w:w="450" w:type="pct"/>
            <w:shd w:val="clear" w:color="auto" w:fill="EAF1DD"/>
            <w:vAlign w:val="center"/>
          </w:tcPr>
          <w:p w14:paraId="5F2DEE5F">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2019</w:t>
            </w:r>
          </w:p>
        </w:tc>
        <w:tc>
          <w:tcPr>
            <w:tcW w:w="704" w:type="pct"/>
            <w:shd w:val="clear" w:color="auto" w:fill="EAF1DD"/>
            <w:vAlign w:val="center"/>
          </w:tcPr>
          <w:p w14:paraId="7556DED2">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Phase Ⅰ: 600 million</w:t>
            </w:r>
          </w:p>
        </w:tc>
        <w:tc>
          <w:tcPr>
            <w:tcW w:w="1281" w:type="pct"/>
            <w:shd w:val="clear" w:color="auto" w:fill="EAF1DD"/>
            <w:vAlign w:val="center"/>
          </w:tcPr>
          <w:p w14:paraId="76F13806">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Established by Chenzhou Municipal Finance Bureau and Xiangjiang Industrial Investment</w:t>
            </w:r>
          </w:p>
        </w:tc>
      </w:tr>
      <w:tr w14:paraId="17F42E93">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jc w:val="center"/>
        </w:trPr>
        <w:tc>
          <w:tcPr>
            <w:tcW w:w="338" w:type="pct"/>
            <w:vAlign w:val="center"/>
          </w:tcPr>
          <w:p w14:paraId="33BE1B7C">
            <w:pPr>
              <w:adjustRightInd w:val="0"/>
              <w:snapToGrid w:val="0"/>
              <w:ind w:left="-105" w:leftChars="-50" w:right="-105" w:rightChars="-50"/>
              <w:jc w:val="center"/>
              <w:rPr>
                <w:rFonts w:ascii="Times New Roman" w:hAnsi="Times New Roman" w:eastAsia="仿宋" w:cs="Times New Roman"/>
                <w:b w:val="0"/>
                <w:bCs w:val="0"/>
                <w:kern w:val="0"/>
                <w:sz w:val="18"/>
                <w:szCs w:val="18"/>
              </w:rPr>
            </w:pPr>
            <w:r>
              <w:rPr>
                <w:rFonts w:ascii="Times New Roman" w:hAnsi="Times New Roman" w:eastAsia="仿宋" w:cs="Times New Roman"/>
                <w:b w:val="0"/>
                <w:bCs w:val="0"/>
                <w:kern w:val="0"/>
                <w:sz w:val="18"/>
                <w:szCs w:val="18"/>
              </w:rPr>
              <w:t>6</w:t>
            </w:r>
          </w:p>
        </w:tc>
        <w:tc>
          <w:tcPr>
            <w:tcW w:w="953" w:type="pct"/>
            <w:vAlign w:val="center"/>
          </w:tcPr>
          <w:p w14:paraId="703DED97">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Wangcheng ETDZ Zhenwang Industrial Development Fund</w:t>
            </w:r>
          </w:p>
        </w:tc>
        <w:tc>
          <w:tcPr>
            <w:tcW w:w="1274" w:type="pct"/>
            <w:vAlign w:val="center"/>
          </w:tcPr>
          <w:p w14:paraId="2854B730">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Non-ferrous metal deep processing and advanced manufacturing industries, new material industries</w:t>
            </w:r>
          </w:p>
        </w:tc>
        <w:tc>
          <w:tcPr>
            <w:tcW w:w="450" w:type="pct"/>
            <w:vAlign w:val="center"/>
          </w:tcPr>
          <w:p w14:paraId="77A6B9C2">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2021</w:t>
            </w:r>
          </w:p>
        </w:tc>
        <w:tc>
          <w:tcPr>
            <w:tcW w:w="704" w:type="pct"/>
            <w:vAlign w:val="center"/>
          </w:tcPr>
          <w:p w14:paraId="26C9B832">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 billion</w:t>
            </w:r>
          </w:p>
        </w:tc>
        <w:tc>
          <w:tcPr>
            <w:tcW w:w="1281" w:type="pct"/>
            <w:vAlign w:val="center"/>
          </w:tcPr>
          <w:p w14:paraId="4A806800">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A government industrial investment fund jointly initiated and established by Wangcheng District Government, Wangcheng ETDZ and Hunan High-tech Investment Group</w:t>
            </w:r>
          </w:p>
        </w:tc>
      </w:tr>
      <w:tr w14:paraId="4F2CAFCE">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jc w:val="center"/>
        </w:trPr>
        <w:tc>
          <w:tcPr>
            <w:tcW w:w="338" w:type="pct"/>
            <w:shd w:val="clear" w:color="auto" w:fill="EAF1DD"/>
            <w:vAlign w:val="center"/>
          </w:tcPr>
          <w:p w14:paraId="142BF973">
            <w:pPr>
              <w:adjustRightInd w:val="0"/>
              <w:snapToGrid w:val="0"/>
              <w:ind w:left="-105" w:leftChars="-50" w:right="-105" w:rightChars="-50"/>
              <w:jc w:val="center"/>
              <w:rPr>
                <w:rFonts w:ascii="Times New Roman" w:hAnsi="Times New Roman" w:eastAsia="仿宋" w:cs="Times New Roman"/>
                <w:b w:val="0"/>
                <w:bCs w:val="0"/>
                <w:kern w:val="0"/>
                <w:sz w:val="18"/>
                <w:szCs w:val="18"/>
              </w:rPr>
            </w:pPr>
            <w:r>
              <w:rPr>
                <w:rFonts w:ascii="Times New Roman" w:hAnsi="Times New Roman" w:eastAsia="仿宋" w:cs="Times New Roman"/>
                <w:b w:val="0"/>
                <w:bCs w:val="0"/>
                <w:kern w:val="0"/>
                <w:sz w:val="18"/>
                <w:szCs w:val="18"/>
              </w:rPr>
              <w:t>7</w:t>
            </w:r>
          </w:p>
        </w:tc>
        <w:tc>
          <w:tcPr>
            <w:tcW w:w="953" w:type="pct"/>
            <w:shd w:val="clear" w:color="auto" w:fill="EAF1DD"/>
            <w:vAlign w:val="center"/>
          </w:tcPr>
          <w:p w14:paraId="0F72BCE0">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Valin Industrial Investment Fund</w:t>
            </w:r>
          </w:p>
        </w:tc>
        <w:tc>
          <w:tcPr>
            <w:tcW w:w="1274" w:type="pct"/>
            <w:shd w:val="clear" w:color="auto" w:fill="EAF1DD"/>
            <w:vAlign w:val="center"/>
          </w:tcPr>
          <w:p w14:paraId="72116E34">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Steel deep processing, high-end equipment manufacturing and other related industries.</w:t>
            </w:r>
          </w:p>
        </w:tc>
        <w:tc>
          <w:tcPr>
            <w:tcW w:w="450" w:type="pct"/>
            <w:shd w:val="clear" w:color="auto" w:fill="EAF1DD"/>
            <w:vAlign w:val="center"/>
          </w:tcPr>
          <w:p w14:paraId="3A4181F5">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2019</w:t>
            </w:r>
          </w:p>
        </w:tc>
        <w:tc>
          <w:tcPr>
            <w:tcW w:w="704" w:type="pct"/>
            <w:shd w:val="clear" w:color="auto" w:fill="EAF1DD"/>
            <w:vAlign w:val="center"/>
          </w:tcPr>
          <w:p w14:paraId="78AC06D6">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3 billion;</w:t>
            </w:r>
          </w:p>
          <w:p w14:paraId="24E564EC">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phase Ⅰ: 600 million</w:t>
            </w:r>
          </w:p>
        </w:tc>
        <w:tc>
          <w:tcPr>
            <w:tcW w:w="1281" w:type="pct"/>
            <w:shd w:val="clear" w:color="auto" w:fill="EAF1DD"/>
            <w:vAlign w:val="center"/>
          </w:tcPr>
          <w:p w14:paraId="56A08CFD">
            <w:pPr>
              <w:adjustRightInd w:val="0"/>
              <w:snapToGrid w:val="0"/>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Jointly established by Valin Jinshan, Loudi Entrepreneurship Development Group, and Valin Lianyuan Iron &amp; Steel</w:t>
            </w:r>
          </w:p>
        </w:tc>
      </w:tr>
      <w:bookmarkEnd w:id="43"/>
      <w:bookmarkEnd w:id="44"/>
      <w:bookmarkEnd w:id="45"/>
      <w:bookmarkEnd w:id="46"/>
      <w:bookmarkEnd w:id="47"/>
      <w:bookmarkEnd w:id="48"/>
      <w:bookmarkEnd w:id="49"/>
      <w:bookmarkEnd w:id="50"/>
      <w:bookmarkEnd w:id="51"/>
    </w:tbl>
    <w:p w14:paraId="156A3646">
      <w:pPr>
        <w:snapToGrid w:val="0"/>
        <w:spacing w:line="360" w:lineRule="exact"/>
        <w:ind w:firstLine="402" w:firstLineChars="200"/>
        <w:rPr>
          <w:rFonts w:ascii="Times New Roman" w:hAnsi="Times New Roman" w:eastAsia="黑体" w:cs="Times New Roman"/>
          <w:b/>
          <w:sz w:val="20"/>
          <w:szCs w:val="21"/>
        </w:rPr>
      </w:pPr>
    </w:p>
    <w:p w14:paraId="0A579782">
      <w:pPr>
        <w:keepNext/>
        <w:snapToGrid w:val="0"/>
        <w:spacing w:line="360" w:lineRule="exact"/>
        <w:ind w:firstLine="442" w:firstLineChars="200"/>
        <w:outlineLvl w:val="2"/>
        <w:rPr>
          <w:rFonts w:ascii="Times New Roman" w:hAnsi="Times New Roman" w:eastAsia="黑体" w:cs="Times New Roman"/>
          <w:b/>
          <w:sz w:val="22"/>
          <w:szCs w:val="24"/>
        </w:rPr>
      </w:pPr>
      <w:bookmarkStart w:id="52" w:name="_Toc163910306"/>
      <w:r>
        <w:rPr>
          <w:rFonts w:ascii="Times New Roman" w:hAnsi="Times New Roman" w:eastAsia="黑体" w:cs="Times New Roman"/>
          <w:b/>
          <w:sz w:val="22"/>
          <w:szCs w:val="24"/>
        </w:rPr>
        <w:t>(4) Investment O</w:t>
      </w:r>
      <w:r>
        <w:rPr>
          <w:rFonts w:hint="eastAsia" w:ascii="Times New Roman" w:hAnsi="Times New Roman" w:eastAsia="黑体" w:cs="Times New Roman"/>
          <w:b/>
          <w:sz w:val="22"/>
          <w:szCs w:val="24"/>
        </w:rPr>
        <w:t>rientation</w:t>
      </w:r>
      <w:r>
        <w:rPr>
          <w:rFonts w:ascii="Times New Roman" w:hAnsi="Times New Roman" w:eastAsia="黑体" w:cs="Times New Roman"/>
          <w:b/>
          <w:sz w:val="22"/>
          <w:szCs w:val="24"/>
        </w:rPr>
        <w:t xml:space="preserve"> and Industrial Layout</w:t>
      </w:r>
      <w:bookmarkEnd w:id="52"/>
    </w:p>
    <w:p w14:paraId="1E8851CB">
      <w:pPr>
        <w:snapToGrid w:val="0"/>
        <w:spacing w:line="360" w:lineRule="exact"/>
        <w:ind w:firstLine="422" w:firstLineChars="200"/>
        <w:rPr>
          <w:rFonts w:ascii="Times New Roman" w:hAnsi="Times New Roman" w:eastAsia="黑体" w:cs="Times New Roman"/>
          <w:bCs/>
        </w:rPr>
      </w:pPr>
      <w:bookmarkStart w:id="53" w:name="_Hlk163831568"/>
      <w:r>
        <w:rPr>
          <w:rFonts w:ascii="Times New Roman" w:hAnsi="Times New Roman" w:eastAsia="黑体" w:cs="Times New Roman"/>
          <w:b/>
        </w:rPr>
        <w:t>Non-ferrous</w:t>
      </w:r>
      <w:bookmarkEnd w:id="53"/>
      <w:r>
        <w:rPr>
          <w:rFonts w:ascii="Times New Roman" w:hAnsi="Times New Roman" w:eastAsia="黑体" w:cs="Times New Roman"/>
          <w:b/>
        </w:rPr>
        <w:t>.</w:t>
      </w:r>
      <w:r>
        <w:rPr>
          <w:rFonts w:ascii="Times New Roman" w:hAnsi="Times New Roman" w:eastAsia="黑体" w:cs="Times New Roman"/>
          <w:bCs/>
        </w:rPr>
        <w:t xml:space="preserve"> Based on Wangcheng ETDZ, Xiangjiang New Area (i.e. Changsha HTZ, hereinafter the same), and Yuhu HTZ, with a focus on the aluminum-copper-titanium industrial chains, we aim to attract enterprises engaged in high-strength and high-conductivity new copper alloy tubes, strips, and tinsel wires, high-strength and high-performance aluminum alloys, titanium alloys, etc. Based on Changning Shuikoushan ETDZ and Guiyang HTZ, with a focus on the lead-zinc composite materials industrial chain, we aim to attract enterprises engaged in new corrosion-resistant lead alloys, high-strength superplastic zinc alloys, etc. Based on Zhuzhou HTZ and Chenzhou HTZ, with a focus on the tungsten and molybdenum deep processing industrial chain, we aim to attract enterprises engaged in ultrafine grained and nanocrystalline cemented carbide, high-performance tungsten alloy, high-efficiency precision machining CNC tools, etc. Based on Chenzhou HTZ and Yongxing ETDZ, with a focus on the high-end gold and silver deep processing industrial chain, we aim to attract enterprises engaged in high-end crafts of rare and precious metal, silver paste, silver nanocatalysts, silver-bearing antibacterial materials, etc. </w:t>
      </w:r>
    </w:p>
    <w:p w14:paraId="1C8B2CDB">
      <w:pPr>
        <w:snapToGrid w:val="0"/>
        <w:spacing w:line="360" w:lineRule="exact"/>
        <w:ind w:firstLine="422" w:firstLineChars="200"/>
        <w:rPr>
          <w:rFonts w:ascii="Times New Roman" w:hAnsi="Times New Roman" w:eastAsia="黑体" w:cs="Times New Roman"/>
          <w:bCs/>
        </w:rPr>
      </w:pPr>
      <w:bookmarkStart w:id="54" w:name="_Hlk163831585"/>
      <w:r>
        <w:rPr>
          <w:rFonts w:ascii="Times New Roman" w:hAnsi="Times New Roman" w:eastAsia="黑体" w:cs="Times New Roman"/>
          <w:b/>
        </w:rPr>
        <w:t>Premium steel products</w:t>
      </w:r>
      <w:bookmarkEnd w:id="54"/>
      <w:r>
        <w:rPr>
          <w:rFonts w:ascii="Times New Roman" w:hAnsi="Times New Roman" w:eastAsia="黑体" w:cs="Times New Roman"/>
          <w:b/>
        </w:rPr>
        <w:t xml:space="preserve">. </w:t>
      </w:r>
      <w:r>
        <w:rPr>
          <w:rFonts w:ascii="Times New Roman" w:hAnsi="Times New Roman" w:eastAsia="黑体" w:cs="Times New Roman"/>
          <w:bCs/>
        </w:rPr>
        <w:t>Based on Loudi ETDZ and Louxing IDZ</w:t>
      </w:r>
      <w:r>
        <w:rPr>
          <w:rFonts w:ascii="Times New Roman" w:hAnsi="Times New Roman" w:eastAsia="黑体" w:cs="Times New Roman"/>
          <w:bCs/>
          <w:vertAlign w:val="superscript"/>
        </w:rPr>
        <w:footnoteReference w:id="2"/>
      </w:r>
      <w:r>
        <w:rPr>
          <w:rFonts w:ascii="Times New Roman" w:hAnsi="Times New Roman" w:eastAsia="黑体" w:cs="Times New Roman"/>
          <w:bCs/>
        </w:rPr>
        <w:t xml:space="preserve">, we aim to attract enterprises specializing in high-grade silicon steel, new-type sheet, high-end automotive sheet, etc. Based on Xiangtan HTZ, </w:t>
      </w:r>
    </w:p>
    <w:p w14:paraId="6B1B6ED6">
      <w:pPr>
        <w:snapToGrid w:val="0"/>
        <w:spacing w:line="360" w:lineRule="exact"/>
        <w:rPr>
          <w:rFonts w:ascii="Times New Roman" w:hAnsi="Times New Roman" w:eastAsia="黑体" w:cs="Times New Roman"/>
          <w:bCs/>
        </w:rPr>
      </w:pPr>
    </w:p>
    <w:p w14:paraId="5585D404">
      <w:pPr>
        <w:snapToGrid w:val="0"/>
        <w:spacing w:line="360" w:lineRule="exact"/>
        <w:rPr>
          <w:rFonts w:ascii="Times New Roman" w:hAnsi="Times New Roman" w:eastAsia="黑体" w:cs="Times New Roman"/>
          <w:bCs/>
        </w:rPr>
      </w:pPr>
    </w:p>
    <w:p w14:paraId="07542902">
      <w:pPr>
        <w:snapToGrid w:val="0"/>
        <w:spacing w:line="360" w:lineRule="exact"/>
        <w:rPr>
          <w:rFonts w:ascii="Times New Roman" w:hAnsi="Times New Roman" w:eastAsia="黑体" w:cs="Times New Roman"/>
          <w:bCs/>
        </w:rPr>
      </w:pPr>
    </w:p>
    <w:p w14:paraId="445E00B5">
      <w:pPr>
        <w:snapToGrid w:val="0"/>
        <w:spacing w:line="360" w:lineRule="exact"/>
        <w:rPr>
          <w:rFonts w:ascii="Times New Roman" w:hAnsi="Times New Roman" w:eastAsia="黑体" w:cs="Times New Roman"/>
          <w:bCs/>
        </w:rPr>
      </w:pPr>
    </w:p>
    <w:p w14:paraId="0908BF84">
      <w:pPr>
        <w:snapToGrid w:val="0"/>
        <w:spacing w:line="360" w:lineRule="exact"/>
        <w:rPr>
          <w:rFonts w:ascii="Times New Roman" w:hAnsi="Times New Roman" w:eastAsia="黑体" w:cs="Times New Roman"/>
          <w:bCs/>
        </w:rPr>
      </w:pPr>
      <w:r>
        <w:rPr>
          <w:rFonts w:hint="eastAsia" w:ascii="Times New Roman" w:hAnsi="Times New Roman" w:eastAsia="黑体" w:cs="Times New Roman"/>
          <w:bCs/>
        </w:rPr>
        <w:drawing>
          <wp:anchor distT="0" distB="0" distL="114300" distR="114300" simplePos="0" relativeHeight="251696128" behindDoc="1" locked="0" layoutInCell="1" allowOverlap="1">
            <wp:simplePos x="0" y="0"/>
            <wp:positionH relativeFrom="column">
              <wp:posOffset>-800100</wp:posOffset>
            </wp:positionH>
            <wp:positionV relativeFrom="paragraph">
              <wp:posOffset>190500</wp:posOffset>
            </wp:positionV>
            <wp:extent cx="5657850" cy="3468370"/>
            <wp:effectExtent l="0" t="1085850" r="0" b="1103630"/>
            <wp:wrapTight wrapText="bothSides">
              <wp:wrapPolygon>
                <wp:start x="21566" y="-174"/>
                <wp:lineTo x="14512" y="-174"/>
                <wp:lineTo x="13421" y="2673"/>
                <wp:lineTo x="13421" y="2792"/>
                <wp:lineTo x="12912" y="2436"/>
                <wp:lineTo x="12621" y="2436"/>
                <wp:lineTo x="12257" y="2911"/>
                <wp:lineTo x="12184" y="2911"/>
                <wp:lineTo x="11093" y="2080"/>
                <wp:lineTo x="11021" y="1250"/>
                <wp:lineTo x="10802" y="1012"/>
                <wp:lineTo x="6439" y="1012"/>
                <wp:lineTo x="5930" y="-174"/>
                <wp:lineTo x="-34" y="-174"/>
                <wp:lineTo x="-34" y="21062"/>
                <wp:lineTo x="6293" y="20825"/>
                <wp:lineTo x="6439" y="19639"/>
                <wp:lineTo x="7602" y="19639"/>
                <wp:lineTo x="7602" y="20706"/>
                <wp:lineTo x="8112" y="21418"/>
                <wp:lineTo x="13130" y="21062"/>
                <wp:lineTo x="13421" y="20232"/>
                <wp:lineTo x="14584" y="21062"/>
                <wp:lineTo x="21566" y="21062"/>
                <wp:lineTo x="21566" y="-174"/>
              </wp:wrapPolygon>
            </wp:wrapTight>
            <wp:docPr id="118273321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16" name="图片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rot="16200000">
                      <a:off x="0" y="0"/>
                      <a:ext cx="5657850" cy="3468370"/>
                    </a:xfrm>
                    <a:prstGeom prst="rect">
                      <a:avLst/>
                    </a:prstGeom>
                    <a:noFill/>
                    <a:ln>
                      <a:noFill/>
                    </a:ln>
                  </pic:spPr>
                </pic:pic>
              </a:graphicData>
            </a:graphic>
          </wp:anchor>
        </w:drawing>
      </w:r>
    </w:p>
    <w:p w14:paraId="6D9900AA">
      <w:pPr>
        <w:snapToGrid w:val="0"/>
        <w:spacing w:line="360" w:lineRule="exact"/>
        <w:rPr>
          <w:rFonts w:ascii="Times New Roman" w:hAnsi="Times New Roman" w:eastAsia="黑体" w:cs="Times New Roman"/>
          <w:bCs/>
        </w:rPr>
      </w:pPr>
    </w:p>
    <w:p w14:paraId="3D37810A">
      <w:pPr>
        <w:snapToGrid w:val="0"/>
        <w:spacing w:line="360" w:lineRule="exact"/>
        <w:rPr>
          <w:rFonts w:ascii="Times New Roman" w:hAnsi="Times New Roman" w:eastAsia="黑体" w:cs="Times New Roman"/>
          <w:bCs/>
        </w:rPr>
      </w:pPr>
    </w:p>
    <w:p w14:paraId="4AFDB2D1">
      <w:pPr>
        <w:snapToGrid w:val="0"/>
        <w:spacing w:line="360" w:lineRule="exact"/>
        <w:rPr>
          <w:rFonts w:ascii="Times New Roman" w:hAnsi="Times New Roman" w:eastAsia="黑体" w:cs="Times New Roman"/>
          <w:bCs/>
        </w:rPr>
      </w:pPr>
    </w:p>
    <w:p w14:paraId="64060A78">
      <w:pPr>
        <w:snapToGrid w:val="0"/>
        <w:spacing w:line="360" w:lineRule="exact"/>
        <w:rPr>
          <w:rFonts w:ascii="Times New Roman" w:hAnsi="Times New Roman" w:eastAsia="黑体" w:cs="Times New Roman"/>
          <w:bCs/>
        </w:rPr>
      </w:pPr>
    </w:p>
    <w:p w14:paraId="63D6E673">
      <w:pPr>
        <w:snapToGrid w:val="0"/>
        <w:spacing w:line="360" w:lineRule="exact"/>
        <w:rPr>
          <w:rFonts w:ascii="Times New Roman" w:hAnsi="Times New Roman" w:eastAsia="黑体" w:cs="Times New Roman"/>
          <w:bCs/>
        </w:rPr>
      </w:pPr>
    </w:p>
    <w:p w14:paraId="23169821">
      <w:pPr>
        <w:snapToGrid w:val="0"/>
        <w:spacing w:line="360" w:lineRule="exact"/>
        <w:rPr>
          <w:rFonts w:ascii="Times New Roman" w:hAnsi="Times New Roman" w:eastAsia="黑体" w:cs="Times New Roman"/>
          <w:bCs/>
        </w:rPr>
      </w:pPr>
    </w:p>
    <w:p w14:paraId="023AF6F9">
      <w:pPr>
        <w:snapToGrid w:val="0"/>
        <w:spacing w:line="360" w:lineRule="exact"/>
        <w:rPr>
          <w:rFonts w:ascii="Times New Roman" w:hAnsi="Times New Roman" w:eastAsia="黑体" w:cs="Times New Roman"/>
          <w:bCs/>
        </w:rPr>
      </w:pPr>
    </w:p>
    <w:p w14:paraId="45D9173F">
      <w:pPr>
        <w:snapToGrid w:val="0"/>
        <w:spacing w:line="360" w:lineRule="exact"/>
        <w:rPr>
          <w:rFonts w:ascii="Times New Roman" w:hAnsi="Times New Roman" w:eastAsia="黑体" w:cs="Times New Roman"/>
          <w:bCs/>
        </w:rPr>
      </w:pPr>
    </w:p>
    <w:p w14:paraId="14425DCE">
      <w:pPr>
        <w:snapToGrid w:val="0"/>
        <w:spacing w:line="360" w:lineRule="exact"/>
        <w:rPr>
          <w:rFonts w:ascii="Times New Roman" w:hAnsi="Times New Roman" w:eastAsia="黑体" w:cs="Times New Roman"/>
          <w:bCs/>
        </w:rPr>
      </w:pPr>
    </w:p>
    <w:p w14:paraId="231003E9">
      <w:pPr>
        <w:snapToGrid w:val="0"/>
        <w:spacing w:line="360" w:lineRule="exact"/>
        <w:rPr>
          <w:rFonts w:ascii="Times New Roman" w:hAnsi="Times New Roman" w:eastAsia="黑体" w:cs="Times New Roman"/>
          <w:bCs/>
        </w:rPr>
      </w:pPr>
    </w:p>
    <w:p w14:paraId="3F97632C">
      <w:pPr>
        <w:snapToGrid w:val="0"/>
        <w:spacing w:line="360" w:lineRule="exact"/>
        <w:rPr>
          <w:rFonts w:ascii="Times New Roman" w:hAnsi="Times New Roman" w:eastAsia="黑体" w:cs="Times New Roman"/>
          <w:bCs/>
        </w:rPr>
      </w:pPr>
    </w:p>
    <w:p w14:paraId="00BAC389">
      <w:pPr>
        <w:snapToGrid w:val="0"/>
        <w:spacing w:line="360" w:lineRule="exact"/>
        <w:rPr>
          <w:rFonts w:ascii="Times New Roman" w:hAnsi="Times New Roman" w:eastAsia="黑体" w:cs="Times New Roman"/>
          <w:bCs/>
        </w:rPr>
      </w:pPr>
    </w:p>
    <w:p w14:paraId="2E81C005">
      <w:pPr>
        <w:snapToGrid w:val="0"/>
        <w:spacing w:line="360" w:lineRule="exact"/>
        <w:rPr>
          <w:rFonts w:ascii="Times New Roman" w:hAnsi="Times New Roman" w:eastAsia="黑体" w:cs="Times New Roman"/>
          <w:bCs/>
        </w:rPr>
      </w:pPr>
    </w:p>
    <w:p w14:paraId="0A4B6748">
      <w:pPr>
        <w:snapToGrid w:val="0"/>
        <w:spacing w:line="360" w:lineRule="exact"/>
        <w:rPr>
          <w:rFonts w:ascii="Times New Roman" w:hAnsi="Times New Roman" w:eastAsia="黑体" w:cs="Times New Roman"/>
          <w:bCs/>
        </w:rPr>
      </w:pPr>
    </w:p>
    <w:p w14:paraId="0FD08E6F">
      <w:pPr>
        <w:snapToGrid w:val="0"/>
        <w:spacing w:line="360" w:lineRule="exact"/>
        <w:rPr>
          <w:rFonts w:ascii="Times New Roman" w:hAnsi="Times New Roman" w:eastAsia="黑体" w:cs="Times New Roman"/>
          <w:bCs/>
        </w:rPr>
      </w:pPr>
    </w:p>
    <w:p w14:paraId="6F29E56B">
      <w:pPr>
        <w:snapToGrid w:val="0"/>
        <w:spacing w:line="360" w:lineRule="exact"/>
        <w:rPr>
          <w:rFonts w:ascii="Times New Roman" w:hAnsi="Times New Roman" w:eastAsia="黑体" w:cs="Times New Roman"/>
          <w:bCs/>
        </w:rPr>
      </w:pPr>
    </w:p>
    <w:p w14:paraId="5F259543">
      <w:pPr>
        <w:snapToGrid w:val="0"/>
        <w:spacing w:line="360" w:lineRule="exact"/>
        <w:rPr>
          <w:rFonts w:ascii="Times New Roman" w:hAnsi="Times New Roman" w:eastAsia="黑体" w:cs="Times New Roman"/>
          <w:bCs/>
        </w:rPr>
      </w:pPr>
    </w:p>
    <w:p w14:paraId="4386517F">
      <w:pPr>
        <w:snapToGrid w:val="0"/>
        <w:spacing w:line="360" w:lineRule="exact"/>
        <w:rPr>
          <w:rFonts w:ascii="Times New Roman" w:hAnsi="Times New Roman" w:eastAsia="黑体" w:cs="Times New Roman"/>
          <w:bCs/>
        </w:rPr>
      </w:pPr>
    </w:p>
    <w:p w14:paraId="6E0F8681">
      <w:pPr>
        <w:snapToGrid w:val="0"/>
        <w:spacing w:line="360" w:lineRule="exact"/>
        <w:rPr>
          <w:rFonts w:ascii="Times New Roman" w:hAnsi="Times New Roman" w:eastAsia="黑体" w:cs="Times New Roman"/>
          <w:bCs/>
        </w:rPr>
      </w:pPr>
    </w:p>
    <w:p w14:paraId="139AABA1">
      <w:pPr>
        <w:snapToGrid w:val="0"/>
        <w:spacing w:line="360" w:lineRule="exact"/>
        <w:rPr>
          <w:rFonts w:ascii="Times New Roman" w:hAnsi="Times New Roman" w:eastAsia="黑体" w:cs="Times New Roman"/>
          <w:bCs/>
        </w:rPr>
      </w:pPr>
      <w:r>
        <w:rPr>
          <w:rFonts w:ascii="Times New Roman" w:hAnsi="Times New Roman" w:eastAsia="黑体" w:cs="Times New Roman"/>
          <w:bCs/>
        </w:rPr>
        <w:t>Hengyang HTZ, and Lengshuijiang ETDZ, we aim to attract enterprises</w:t>
      </w:r>
      <w:r>
        <w:rPr>
          <w:rFonts w:hint="eastAsia" w:ascii="Times New Roman" w:hAnsi="Times New Roman" w:eastAsia="黑体" w:cs="Times New Roman"/>
          <w:bCs/>
        </w:rPr>
        <w:t xml:space="preserve"> </w:t>
      </w:r>
      <w:r>
        <w:rPr>
          <w:rFonts w:ascii="Times New Roman" w:hAnsi="Times New Roman" w:eastAsia="黑体" w:cs="Times New Roman"/>
          <w:bCs/>
        </w:rPr>
        <w:t>engaged in high-end wide plates, wire rods and bars, high-strength corrosion-resistant shipbuilding plates, and other fields of special steel deep processing, steel pipe deep processing, high-end precision fastener deep processing, etc.</w:t>
      </w:r>
    </w:p>
    <w:p w14:paraId="7FDE6455">
      <w:pPr>
        <w:snapToGrid w:val="0"/>
        <w:spacing w:line="360" w:lineRule="exact"/>
        <w:ind w:firstLine="422" w:firstLineChars="200"/>
        <w:rPr>
          <w:rFonts w:ascii="Times New Roman" w:hAnsi="Times New Roman" w:eastAsia="仿宋" w:cs="Times New Roman"/>
          <w:sz w:val="20"/>
          <w:szCs w:val="20"/>
        </w:rPr>
      </w:pPr>
      <w:bookmarkStart w:id="55" w:name="_Hlk163831688"/>
      <w:r>
        <w:rPr>
          <w:rFonts w:ascii="Times New Roman" w:hAnsi="Times New Roman" w:eastAsia="黑体" w:cs="Times New Roman"/>
          <w:b/>
        </w:rPr>
        <w:t>Green construction</w:t>
      </w:r>
      <w:bookmarkEnd w:id="55"/>
      <w:r>
        <w:rPr>
          <w:rFonts w:ascii="Times New Roman" w:hAnsi="Times New Roman" w:eastAsia="黑体" w:cs="Times New Roman"/>
          <w:b/>
        </w:rPr>
        <w:t>.</w:t>
      </w:r>
      <w:r>
        <w:rPr>
          <w:rFonts w:ascii="Times New Roman" w:hAnsi="Times New Roman" w:eastAsia="黑体" w:cs="Times New Roman"/>
          <w:bCs/>
        </w:rPr>
        <w:t xml:space="preserve"> Based on Xiangyin HTZ, Daxiang IDZ, and Taojiang Huishangang IDZ, with a focus on the prefabricated construction industry, we aim to attract enterprises engaged in new-type wall materials, special cement, integrated parts and components of prefabricated buildings, etc. Based on Liling ETDZ and Xinhua HTZ, with a focus on the ceramic materials industry, we aim to attract enterprises engaged in special ceramics, including high-performance spark plug ceramics, ceramic substrates for semiconductors, nitrogen oxygen sensors, ceramic capacitors, resistors, inductors, wear-resistant and high-temperature-resistant components for the steel industry, etc. Based on Liuyang ETDZ and Shaoyang ETDZ, with a focus on the glass materials industry, we aim to attract enterprises engaged in photovoltaic glass, special glass and medium and high-end glass products, glass fiber, etc. Based on Chenzhou ETDZ and Chenzhou HTZ, with a focus on refractories and graphite materials industries, we aim to attract enterprises engaged in special non-metallic new materials including non-metallic functional materials, high-end carbon materials, high-purity quartz, high-quality artificial crystals, etc.</w:t>
      </w:r>
    </w:p>
    <w:p w14:paraId="131CD64C">
      <w:pPr>
        <w:snapToGrid w:val="0"/>
        <w:spacing w:line="360" w:lineRule="exact"/>
        <w:ind w:firstLine="400" w:firstLineChars="200"/>
        <w:rPr>
          <w:rFonts w:ascii="Times New Roman" w:hAnsi="Times New Roman" w:eastAsia="仿宋" w:cs="Times New Roman"/>
          <w:sz w:val="20"/>
          <w:szCs w:val="20"/>
        </w:rPr>
        <w:sectPr>
          <w:headerReference r:id="rId7" w:type="default"/>
          <w:pgSz w:w="8391" w:h="11907"/>
          <w:pgMar w:top="1440" w:right="1080" w:bottom="1440" w:left="1080" w:header="680" w:footer="992" w:gutter="0"/>
          <w:cols w:space="720" w:num="1"/>
          <w:docGrid w:type="lines" w:linePitch="381" w:charSpace="0"/>
        </w:sectPr>
      </w:pPr>
    </w:p>
    <w:p w14:paraId="6D03AA58">
      <w:pPr>
        <w:keepNext/>
        <w:snapToGrid w:val="0"/>
        <w:spacing w:afterLines="50" w:line="360" w:lineRule="exact"/>
        <w:jc w:val="center"/>
        <w:outlineLvl w:val="1"/>
        <w:rPr>
          <w:rFonts w:ascii="Times New Roman" w:hAnsi="Times New Roman" w:eastAsia="仿宋" w:cs="Times New Roman"/>
          <w:b/>
          <w:bCs/>
          <w:sz w:val="22"/>
          <w:szCs w:val="24"/>
        </w:rPr>
      </w:pPr>
      <w:bookmarkStart w:id="56" w:name="_Toc163910307"/>
      <w:r>
        <w:rPr>
          <w:rFonts w:ascii="Times New Roman" w:hAnsi="Times New Roman" w:eastAsia="仿宋" w:cs="Times New Roman"/>
          <w:b/>
          <w:bCs/>
          <w:sz w:val="22"/>
          <w:szCs w:val="24"/>
        </w:rPr>
        <w:t>3. Food Processing</w:t>
      </w:r>
      <w:bookmarkEnd w:id="56"/>
    </w:p>
    <w:p w14:paraId="744AE007">
      <w:pPr>
        <w:keepNext/>
        <w:snapToGrid w:val="0"/>
        <w:spacing w:line="360" w:lineRule="exact"/>
        <w:ind w:firstLine="442" w:firstLineChars="200"/>
        <w:outlineLvl w:val="2"/>
        <w:rPr>
          <w:rFonts w:ascii="Times New Roman" w:hAnsi="Times New Roman" w:eastAsia="黑体" w:cs="Times New Roman"/>
          <w:b/>
          <w:sz w:val="22"/>
          <w:szCs w:val="24"/>
        </w:rPr>
      </w:pPr>
      <w:bookmarkStart w:id="57" w:name="_Toc163910308"/>
      <w:r>
        <w:rPr>
          <w:rFonts w:ascii="Times New Roman" w:hAnsi="Times New Roman" w:eastAsia="黑体" w:cs="Times New Roman"/>
          <w:b/>
          <w:sz w:val="22"/>
          <w:szCs w:val="24"/>
        </w:rPr>
        <w:t>(1) Development Status</w:t>
      </w:r>
      <w:bookmarkEnd w:id="57"/>
    </w:p>
    <w:p w14:paraId="60EFD441">
      <w:pPr>
        <w:snapToGrid w:val="0"/>
        <w:spacing w:line="340" w:lineRule="exact"/>
        <w:ind w:firstLine="440" w:firstLineChars="200"/>
        <w:rPr>
          <w:rFonts w:hint="eastAsia" w:ascii="Times New Roman" w:hAnsi="Times New Roman" w:eastAsia="仿宋" w:cs="Times New Roman"/>
          <w:sz w:val="22"/>
          <w:szCs w:val="24"/>
        </w:rPr>
      </w:pPr>
      <w:r>
        <w:rPr>
          <w:rFonts w:hint="eastAsia" w:ascii="Times New Roman" w:hAnsi="Times New Roman" w:eastAsia="仿宋" w:cs="Times New Roman"/>
          <w:sz w:val="22"/>
          <w:szCs w:val="24"/>
        </w:rPr>
        <w:t>The green agricultural products and food processing industry achieved a revenue of 933.83 billion yuan in 2024, representing a year-on-year growth of 3.6%. Hunan, traditionally known as the "land of fish and rice," boasts unique geographical and climatic conditions that nurture a rich variety of distinctive agricultural products. It ranks first in China in terms of both rice cultivation area and output. The number of certified organic agricultural products places second nationally, while the production of pork, oilseeds, vegetables, tea, freshwater products, citrus, and Chinese medicinal herbs ranks among the top in the country. The number of green food certifications has reached 3,571. The province has established 8 provincial-level regional public brands for agricultural products, including "Two Teas, Two Oils, and Two Vegetables."</w:t>
      </w:r>
    </w:p>
    <w:p w14:paraId="54D12C76">
      <w:pPr>
        <w:snapToGrid w:val="0"/>
        <w:spacing w:line="340" w:lineRule="exact"/>
        <w:ind w:firstLine="440" w:firstLineChars="200"/>
        <w:rPr>
          <w:rFonts w:hint="eastAsia" w:ascii="Times New Roman" w:hAnsi="Times New Roman" w:eastAsia="仿宋" w:cs="Times New Roman"/>
          <w:sz w:val="22"/>
          <w:szCs w:val="24"/>
        </w:rPr>
      </w:pPr>
      <w:r>
        <w:rPr>
          <w:rFonts w:hint="eastAsia" w:ascii="Times New Roman" w:hAnsi="Times New Roman" w:eastAsia="仿宋" w:cs="Times New Roman"/>
          <w:sz w:val="22"/>
          <w:szCs w:val="24"/>
        </w:rPr>
        <w:t>The agricultural products processing industry maintains strong growth momentum. In 2024, the number of scaled-up agricultural processing enterprises reached 6,000, and their revenue ranked first in central China. The scale of the prepared dishes industry for Hunan cuisine has entered the top three nationally. The annual output value of the leisure food industry accounts for one-third of the national industry's total output value.</w:t>
      </w:r>
    </w:p>
    <w:p w14:paraId="506C6C49">
      <w:pPr>
        <w:snapToGrid w:val="0"/>
        <w:spacing w:line="340" w:lineRule="exact"/>
        <w:ind w:firstLine="440" w:firstLineChars="200"/>
        <w:rPr>
          <w:rFonts w:hint="eastAsia" w:ascii="Times New Roman" w:hAnsi="Times New Roman" w:eastAsia="仿宋" w:cs="Times New Roman"/>
          <w:sz w:val="22"/>
          <w:szCs w:val="24"/>
        </w:rPr>
      </w:pPr>
      <w:r>
        <w:rPr>
          <w:rFonts w:hint="eastAsia" w:ascii="Times New Roman" w:hAnsi="Times New Roman" w:eastAsia="仿宋" w:cs="Times New Roman"/>
          <w:sz w:val="22"/>
          <w:szCs w:val="24"/>
        </w:rPr>
        <w:t>19 enterprises are listed on the Hong Kong Stock Exchange or the main markets of A-shares. Among them, enterprises including JinJian Cereals Industry and Yanjin Shop Food are listed in China’s Top 200 Light Industry Enterprises. Hunan Tea Group is listed in China’s Top 100 Technology Enterprises in Light Industry, and JinJian Cereals, in China’s Top 50 Food Enterprises.</w:t>
      </w:r>
    </w:p>
    <w:p w14:paraId="4B21A379">
      <w:pPr>
        <w:snapToGrid w:val="0"/>
        <w:spacing w:beforeLines="20"/>
        <w:jc w:val="center"/>
        <w:rPr>
          <w:rFonts w:ascii="Times New Roman" w:hAnsi="Times New Roman" w:eastAsia="仿宋" w:cs="Times New Roman"/>
          <w:sz w:val="20"/>
          <w:szCs w:val="21"/>
        </w:rPr>
      </w:pPr>
      <w:r>
        <w:drawing>
          <wp:inline distT="0" distB="0" distL="0" distR="0">
            <wp:extent cx="4102735" cy="3423285"/>
            <wp:effectExtent l="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noChangeArrowheads="1"/>
                    </pic:cNvPicPr>
                  </pic:nvPicPr>
                  <pic:blipFill>
                    <a:blip r:embed="rId47" cstate="print"/>
                    <a:srcRect/>
                    <a:stretch>
                      <a:fillRect/>
                    </a:stretch>
                  </pic:blipFill>
                  <pic:spPr>
                    <a:xfrm>
                      <a:off x="0" y="0"/>
                      <a:ext cx="4104519" cy="3424872"/>
                    </a:xfrm>
                    <a:prstGeom prst="rect">
                      <a:avLst/>
                    </a:prstGeom>
                    <a:noFill/>
                    <a:ln w="9525">
                      <a:noFill/>
                      <a:miter lim="800000"/>
                      <a:headEnd/>
                      <a:tailEnd/>
                    </a:ln>
                  </pic:spPr>
                </pic:pic>
              </a:graphicData>
            </a:graphic>
          </wp:inline>
        </w:drawing>
      </w:r>
    </w:p>
    <w:p w14:paraId="05E2BC89">
      <w:pPr>
        <w:snapToGrid w:val="0"/>
        <w:spacing w:beforeLines="20"/>
        <w:jc w:val="center"/>
        <w:rPr>
          <w:rFonts w:ascii="Times New Roman" w:hAnsi="Times New Roman" w:eastAsia="仿宋" w:cs="Times New Roman"/>
          <w:sz w:val="18"/>
          <w:szCs w:val="20"/>
        </w:rPr>
      </w:pPr>
      <w:r>
        <w:rPr>
          <w:rFonts w:ascii="Times New Roman" w:hAnsi="Times New Roman" w:eastAsia="仿宋" w:cs="Times New Roman"/>
          <w:sz w:val="18"/>
          <w:szCs w:val="20"/>
        </w:rPr>
        <w:t>Leading companies in food processing</w:t>
      </w:r>
    </w:p>
    <w:p w14:paraId="5C95420A">
      <w:pPr>
        <w:keepNext/>
        <w:snapToGrid w:val="0"/>
        <w:spacing w:line="360" w:lineRule="exact"/>
        <w:ind w:firstLine="442" w:firstLineChars="200"/>
        <w:outlineLvl w:val="2"/>
        <w:rPr>
          <w:rFonts w:ascii="Times New Roman" w:hAnsi="Times New Roman" w:eastAsia="黑体" w:cs="Times New Roman"/>
          <w:b/>
          <w:sz w:val="22"/>
          <w:szCs w:val="24"/>
        </w:rPr>
      </w:pPr>
      <w:bookmarkStart w:id="58" w:name="_Toc163910309"/>
      <w:r>
        <w:rPr>
          <w:rFonts w:ascii="Times New Roman" w:hAnsi="Times New Roman" w:eastAsia="黑体" w:cs="Times New Roman"/>
          <w:b/>
          <w:sz w:val="22"/>
          <w:szCs w:val="24"/>
        </w:rPr>
        <w:t>(2) Development Target</w:t>
      </w:r>
      <w:bookmarkEnd w:id="58"/>
    </w:p>
    <w:p w14:paraId="756393AC">
      <w:pPr>
        <w:snapToGrid w:val="0"/>
        <w:spacing w:line="360" w:lineRule="exact"/>
        <w:ind w:firstLine="440" w:firstLineChars="200"/>
        <w:rPr>
          <w:rFonts w:ascii="Times New Roman" w:hAnsi="Times New Roman" w:eastAsia="仿宋" w:cs="Times New Roman"/>
          <w:bCs/>
          <w:sz w:val="22"/>
        </w:rPr>
      </w:pPr>
      <w:r>
        <w:rPr>
          <w:rFonts w:ascii="Times New Roman" w:hAnsi="Times New Roman" w:eastAsia="仿宋" w:cs="Times New Roman"/>
          <w:sz w:val="22"/>
          <w:szCs w:val="24"/>
        </w:rPr>
        <w:t>By 2026, the output value of agricultural product processing industry in the province will reach over 2.8 trillion yuan, and there will be over 7000 large-scale agricultural product processing enterprises.</w:t>
      </w:r>
      <w:r>
        <w:rPr>
          <w:rFonts w:hint="eastAsia" w:ascii="Times New Roman" w:hAnsi="Times New Roman" w:eastAsia="仿宋" w:cs="Times New Roman"/>
          <w:sz w:val="22"/>
          <w:szCs w:val="24"/>
        </w:rPr>
        <w:t xml:space="preserve"> </w:t>
      </w:r>
      <w:r>
        <w:rPr>
          <w:rFonts w:ascii="Times New Roman" w:hAnsi="Times New Roman" w:eastAsia="仿宋" w:cs="Times New Roman"/>
          <w:sz w:val="22"/>
          <w:szCs w:val="24"/>
        </w:rPr>
        <w:t>By 2027, Hunan’s food processing industry will achieve revenue exceeding 800 billion yuan, establish approximately 15 distinctive parks with annual revenues surpassing 10 billion yuan each, and develop a nationally renowned eco-friendly green food industry base.</w:t>
      </w:r>
    </w:p>
    <w:p w14:paraId="3E986FD8">
      <w:pPr>
        <w:keepNext/>
        <w:snapToGrid w:val="0"/>
        <w:spacing w:line="360" w:lineRule="exact"/>
        <w:ind w:firstLine="442" w:firstLineChars="200"/>
        <w:outlineLvl w:val="2"/>
        <w:rPr>
          <w:rFonts w:ascii="Times New Roman" w:hAnsi="Times New Roman" w:eastAsia="黑体" w:cs="Times New Roman"/>
          <w:b/>
          <w:sz w:val="22"/>
          <w:szCs w:val="24"/>
        </w:rPr>
      </w:pPr>
      <w:bookmarkStart w:id="59" w:name="_Toc163910310"/>
      <w:r>
        <w:rPr>
          <w:rFonts w:ascii="Times New Roman" w:hAnsi="Times New Roman" w:eastAsia="黑体" w:cs="Times New Roman"/>
          <w:b/>
          <w:sz w:val="22"/>
          <w:szCs w:val="24"/>
        </w:rPr>
        <w:t>(3) Policy Support</w:t>
      </w:r>
      <w:bookmarkEnd w:id="59"/>
    </w:p>
    <w:p w14:paraId="3F1B3E55">
      <w:pPr>
        <w:pStyle w:val="85"/>
        <w:numPr>
          <w:ilvl w:val="0"/>
          <w:numId w:val="3"/>
        </w:numPr>
        <w:ind w:left="426" w:hanging="142" w:firstLineChars="0"/>
        <w:rPr>
          <w:i/>
          <w:iCs/>
        </w:rPr>
      </w:pPr>
      <w:r>
        <w:rPr>
          <w:i/>
          <w:iCs/>
        </w:rPr>
        <w:t>Opinions of the General Office of People’s Government of Hunan Province on</w:t>
      </w:r>
      <w:r>
        <w:rPr>
          <w:rFonts w:hint="eastAsia"/>
          <w:i/>
          <w:iCs/>
        </w:rPr>
        <w:t xml:space="preserve"> Promoting </w:t>
      </w:r>
      <w:r>
        <w:rPr>
          <w:i/>
          <w:iCs/>
        </w:rPr>
        <w:t xml:space="preserve">the High-Quality Development of </w:t>
      </w:r>
      <w:r>
        <w:rPr>
          <w:rFonts w:hint="eastAsia"/>
          <w:i/>
          <w:iCs/>
        </w:rPr>
        <w:t>Livestock</w:t>
      </w:r>
      <w:r>
        <w:rPr>
          <w:i/>
          <w:iCs/>
        </w:rPr>
        <w:t xml:space="preserve"> Industry</w:t>
      </w:r>
    </w:p>
    <w:p w14:paraId="114BEA25">
      <w:pPr>
        <w:pStyle w:val="85"/>
        <w:numPr>
          <w:ilvl w:val="0"/>
          <w:numId w:val="3"/>
        </w:numPr>
        <w:ind w:left="426" w:hanging="142" w:firstLineChars="0"/>
        <w:rPr>
          <w:i/>
          <w:iCs/>
        </w:rPr>
      </w:pPr>
      <w:r>
        <w:rPr>
          <w:i/>
          <w:iCs/>
        </w:rPr>
        <w:t>Policy Measures of Fiscal Support for the High-Quality Development of Oil Tea Industry in Hunan Province</w:t>
      </w:r>
    </w:p>
    <w:p w14:paraId="2CF25974">
      <w:pPr>
        <w:pStyle w:val="85"/>
        <w:numPr>
          <w:ilvl w:val="0"/>
          <w:numId w:val="3"/>
        </w:numPr>
        <w:ind w:left="426" w:hanging="142" w:firstLineChars="0"/>
        <w:rPr>
          <w:i/>
          <w:iCs/>
        </w:rPr>
      </w:pPr>
      <w:r>
        <w:rPr>
          <w:i/>
          <w:iCs/>
        </w:rPr>
        <w:t>Ten Measures for Promoting High Quality Development of the Fruit Industry</w:t>
      </w:r>
    </w:p>
    <w:p w14:paraId="072E4036">
      <w:pPr>
        <w:pStyle w:val="85"/>
        <w:numPr>
          <w:ilvl w:val="0"/>
          <w:numId w:val="3"/>
        </w:numPr>
        <w:ind w:left="426" w:hanging="142" w:firstLineChars="0"/>
        <w:rPr>
          <w:i/>
          <w:iCs/>
        </w:rPr>
      </w:pPr>
      <w:r>
        <w:rPr>
          <w:i/>
          <w:iCs/>
        </w:rPr>
        <w:t>Opinions of the General Office of People’s Government of Hunan Province on Accelerating the High-Quality Development of Precooked Meal Industry</w:t>
      </w:r>
    </w:p>
    <w:p w14:paraId="34C5BBB5">
      <w:pPr>
        <w:rPr>
          <w:i/>
          <w:iCs/>
        </w:rPr>
      </w:pPr>
      <w:r>
        <w:rPr>
          <w:iCs/>
        </w:rPr>
        <mc:AlternateContent>
          <mc:Choice Requires="wps">
            <w:drawing>
              <wp:anchor distT="0" distB="0" distL="114300" distR="114300" simplePos="0" relativeHeight="251662336" behindDoc="0" locked="0" layoutInCell="1" allowOverlap="1">
                <wp:simplePos x="0" y="0"/>
                <wp:positionH relativeFrom="column">
                  <wp:posOffset>31115</wp:posOffset>
                </wp:positionH>
                <wp:positionV relativeFrom="paragraph">
                  <wp:posOffset>187325</wp:posOffset>
                </wp:positionV>
                <wp:extent cx="3971925" cy="2504440"/>
                <wp:effectExtent l="6350" t="165735" r="14605" b="12065"/>
                <wp:wrapNone/>
                <wp:docPr id="7" name="矩形标注 33"/>
                <wp:cNvGraphicFramePr/>
                <a:graphic xmlns:a="http://schemas.openxmlformats.org/drawingml/2006/main">
                  <a:graphicData uri="http://schemas.microsoft.com/office/word/2010/wordprocessingShape">
                    <wps:wsp>
                      <wps:cNvSpPr/>
                      <wps:spPr>
                        <a:xfrm>
                          <a:off x="0" y="0"/>
                          <a:ext cx="3971925" cy="2504440"/>
                        </a:xfrm>
                        <a:prstGeom prst="wedgeRectCallout">
                          <a:avLst>
                            <a:gd name="adj1" fmla="val -41856"/>
                            <a:gd name="adj2" fmla="val -56181"/>
                          </a:avLst>
                        </a:prstGeom>
                        <a:solidFill>
                          <a:srgbClr val="E2EFD9"/>
                        </a:solidFill>
                        <a:ln w="12700" cap="flat" cmpd="sng">
                          <a:solidFill>
                            <a:srgbClr val="A8D08D"/>
                          </a:solidFill>
                          <a:prstDash val="solid"/>
                          <a:miter/>
                          <a:headEnd type="none" w="med" len="med"/>
                          <a:tailEnd type="none" w="med" len="med"/>
                        </a:ln>
                      </wps:spPr>
                      <wps:txbx>
                        <w:txbxContent>
                          <w:p w14:paraId="0EF0F9F5">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634E5D72">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Fiscal Support: </w:t>
                            </w:r>
                            <w:r>
                              <w:rPr>
                                <w:rFonts w:ascii="Times New Roman" w:hAnsi="Times New Roman" w:cs="Times New Roman"/>
                                <w:color w:val="3F3F3F" w:themeColor="text1" w:themeTint="BF"/>
                                <w:sz w:val="18"/>
                                <w:szCs w:val="18"/>
                              </w:rPr>
                              <w:t>Precooked meal enterprises are encouraged to participate in the cultivation of “Three Merits”  benchmark enterprises in Hunan Province’s consumer goods industry. Recognized “Three Merits” benchmark enterprises are eligible for a reward up to 500,000 yuan (one reward at a time). Enterprises inspected and approved by the Hunan Securities Regulatory Bureau are eligible for a subsidy of 2 million yuan.</w:t>
                            </w:r>
                          </w:p>
                          <w:p w14:paraId="2A8D2C0A">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Financial Support: </w:t>
                            </w:r>
                            <w:r>
                              <w:rPr>
                                <w:rFonts w:ascii="Times New Roman" w:hAnsi="Times New Roman" w:cs="Times New Roman"/>
                                <w:color w:val="3F3F3F" w:themeColor="text1" w:themeTint="BF"/>
                                <w:sz w:val="18"/>
                                <w:szCs w:val="18"/>
                              </w:rPr>
                              <w:t>The role of government investment funds such as the Hunan Rural Revitalization Industry Fund and the Agricultural Prosperity Industry Fund will be fully utilized to prioritize investment in the precooked meal industry. Precooked meal enterprises applying for bank loans are eligible for interest subsidies in accordance with Hunan Province’s loan interest subsidy policy for new agricultural business entities.</w:t>
                            </w:r>
                          </w:p>
                          <w:p w14:paraId="5B7694AB">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Tax Incentives: </w:t>
                            </w:r>
                            <w:r>
                              <w:rPr>
                                <w:rFonts w:ascii="Times New Roman" w:hAnsi="Times New Roman" w:cs="Times New Roman"/>
                                <w:color w:val="3F3F3F" w:themeColor="text1" w:themeTint="BF"/>
                                <w:sz w:val="18"/>
                                <w:szCs w:val="18"/>
                              </w:rPr>
                              <w:t>The pilot scope for deducting input VAT for agricultural products used in precooked meal production will be further expanded. The income tax exemption policy for small, micro-profit enterprises will be put in place. For the portion of annual taxable income of small-scale and low-profit enterprises not exceeding 3 million yuan, only 25% is taxable, paid at a rate of 20%.</w:t>
                            </w:r>
                          </w:p>
                        </w:txbxContent>
                      </wps:txbx>
                      <wps:bodyPr anchor="ctr" anchorCtr="0" upright="1"/>
                    </wps:wsp>
                  </a:graphicData>
                </a:graphic>
              </wp:anchor>
            </w:drawing>
          </mc:Choice>
          <mc:Fallback>
            <w:pict>
              <v:shape id="矩形标注 33" o:spid="_x0000_s1026" o:spt="61" type="#_x0000_t61" style="position:absolute;left:0pt;margin-left:2.45pt;margin-top:14.75pt;height:197.2pt;width:312.75pt;z-index:251662336;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" adj="1759,-1335">
                <v:fill on="t" focussize="0,0"/>
                <v:stroke weight="1pt" color="#A8D08D" joinstyle="miter"/>
                <v:imagedata o:title=""/>
                <o:lock v:ext="edit" aspectratio="f"/>
                <v:textbox>
                  <w:txbxContent>
                    <w:p w14:paraId="0EF0F9F5">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634E5D72">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Fiscal Support: </w:t>
                      </w:r>
                      <w:r>
                        <w:rPr>
                          <w:rFonts w:ascii="Times New Roman" w:hAnsi="Times New Roman" w:cs="Times New Roman"/>
                          <w:color w:val="3F3F3F" w:themeColor="text1" w:themeTint="BF"/>
                          <w:sz w:val="18"/>
                          <w:szCs w:val="18"/>
                        </w:rPr>
                        <w:t>Precooked meal enterprises are encouraged to participate in the cultivation of “Three Merits”  benchmark enterprises in Hunan Province’s consumer goods industry. Recognized “Three Merits” benchmark enterprises are eligible for a reward up to 500,000 yuan (one reward at a time). Enterprises inspected and approved by the Hunan Securities Regulatory Bureau are eligible for a subsidy of 2 million yuan.</w:t>
                      </w:r>
                    </w:p>
                    <w:p w14:paraId="2A8D2C0A">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Financial Support: </w:t>
                      </w:r>
                      <w:r>
                        <w:rPr>
                          <w:rFonts w:ascii="Times New Roman" w:hAnsi="Times New Roman" w:cs="Times New Roman"/>
                          <w:color w:val="3F3F3F" w:themeColor="text1" w:themeTint="BF"/>
                          <w:sz w:val="18"/>
                          <w:szCs w:val="18"/>
                        </w:rPr>
                        <w:t>The role of government investment funds such as the Hunan Rural Revitalization Industry Fund and the Agricultural Prosperity Industry Fund will be fully utilized to prioritize investment in the precooked meal industry. Precooked meal enterprises applying for bank loans are eligible for interest subsidies in accordance with Hunan Province’s loan interest subsidy policy for new agricultural business entities.</w:t>
                      </w:r>
                    </w:p>
                    <w:p w14:paraId="5B7694AB">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Tax Incentives: </w:t>
                      </w:r>
                      <w:r>
                        <w:rPr>
                          <w:rFonts w:ascii="Times New Roman" w:hAnsi="Times New Roman" w:cs="Times New Roman"/>
                          <w:color w:val="3F3F3F" w:themeColor="text1" w:themeTint="BF"/>
                          <w:sz w:val="18"/>
                          <w:szCs w:val="18"/>
                        </w:rPr>
                        <w:t>The pilot scope for deducting input VAT for agricultural products used in precooked meal production will be further expanded. The income tax exemption policy for small, micro-profit enterprises will be put in place. For the portion of annual taxable income of small-scale and low-profit enterprises not exceeding 3 million yuan, only 25% is taxable, paid at a rate of 20%.</w:t>
                      </w:r>
                    </w:p>
                  </w:txbxContent>
                </v:textbox>
              </v:shape>
            </w:pict>
          </mc:Fallback>
        </mc:AlternateContent>
      </w:r>
    </w:p>
    <w:p w14:paraId="227E0919">
      <w:pPr>
        <w:rPr>
          <w:i/>
          <w:iCs/>
        </w:rPr>
      </w:pPr>
    </w:p>
    <w:p w14:paraId="04E025CD">
      <w:pPr>
        <w:rPr>
          <w:i/>
          <w:iCs/>
        </w:rPr>
      </w:pPr>
    </w:p>
    <w:p w14:paraId="2AE8A61C">
      <w:pPr>
        <w:rPr>
          <w:i/>
          <w:iCs/>
        </w:rPr>
      </w:pPr>
    </w:p>
    <w:p w14:paraId="6084C870">
      <w:pPr>
        <w:rPr>
          <w:i/>
          <w:iCs/>
        </w:rPr>
      </w:pPr>
    </w:p>
    <w:p w14:paraId="78D920FB">
      <w:pPr>
        <w:rPr>
          <w:i/>
          <w:iCs/>
        </w:rPr>
      </w:pPr>
    </w:p>
    <w:p w14:paraId="6CE8FD02">
      <w:pPr>
        <w:rPr>
          <w:i/>
          <w:iCs/>
        </w:rPr>
      </w:pPr>
    </w:p>
    <w:p w14:paraId="1895731A">
      <w:pPr>
        <w:rPr>
          <w:i/>
          <w:iCs/>
        </w:rPr>
      </w:pPr>
    </w:p>
    <w:p w14:paraId="1F3413FF">
      <w:pPr>
        <w:rPr>
          <w:i/>
          <w:iCs/>
        </w:rPr>
      </w:pPr>
    </w:p>
    <w:p w14:paraId="1F25BDCD">
      <w:pPr>
        <w:rPr>
          <w:i/>
          <w:iCs/>
        </w:rPr>
      </w:pPr>
    </w:p>
    <w:p w14:paraId="5FE79E2A">
      <w:pPr>
        <w:rPr>
          <w:i/>
          <w:iCs/>
        </w:rPr>
      </w:pPr>
    </w:p>
    <w:p w14:paraId="7653D8E0">
      <w:pPr>
        <w:rPr>
          <w:i/>
          <w:iCs/>
        </w:rPr>
      </w:pPr>
    </w:p>
    <w:p w14:paraId="73FE58F3">
      <w:pPr>
        <w:pStyle w:val="85"/>
        <w:numPr>
          <w:ilvl w:val="0"/>
          <w:numId w:val="3"/>
        </w:numPr>
        <w:ind w:left="426" w:hanging="142" w:firstLineChars="0"/>
        <w:rPr>
          <w:i/>
          <w:iCs/>
        </w:rPr>
      </w:pPr>
      <w:r>
        <w:rPr>
          <w:i/>
          <w:iCs/>
        </w:rPr>
        <w:t>Implementation Plan of Financial Assistance for High-Quality Development of Livestock Industry in Hunan Province</w:t>
      </w:r>
    </w:p>
    <w:p w14:paraId="2DC657FB">
      <w:pPr>
        <w:rPr>
          <w:i/>
          <w:iCs/>
        </w:rPr>
      </w:pPr>
      <w:r>
        <w:rPr>
          <w:iCs/>
        </w:rPr>
        <mc:AlternateContent>
          <mc:Choice Requires="wps">
            <w:drawing>
              <wp:anchor distT="0" distB="0" distL="114300" distR="114300" simplePos="0" relativeHeight="251663360" behindDoc="0" locked="0" layoutInCell="1" allowOverlap="1">
                <wp:simplePos x="0" y="0"/>
                <wp:positionH relativeFrom="column">
                  <wp:posOffset>51435</wp:posOffset>
                </wp:positionH>
                <wp:positionV relativeFrom="paragraph">
                  <wp:posOffset>95250</wp:posOffset>
                </wp:positionV>
                <wp:extent cx="3937635" cy="1043940"/>
                <wp:effectExtent l="6350" t="108585" r="18415" b="20955"/>
                <wp:wrapNone/>
                <wp:docPr id="8" name="矩形标注 34"/>
                <wp:cNvGraphicFramePr/>
                <a:graphic xmlns:a="http://schemas.openxmlformats.org/drawingml/2006/main">
                  <a:graphicData uri="http://schemas.microsoft.com/office/word/2010/wordprocessingShape">
                    <wps:wsp>
                      <wps:cNvSpPr/>
                      <wps:spPr>
                        <a:xfrm>
                          <a:off x="0" y="0"/>
                          <a:ext cx="3937635" cy="1043940"/>
                        </a:xfrm>
                        <a:prstGeom prst="wedgeRectCallout">
                          <a:avLst>
                            <a:gd name="adj1" fmla="val -42199"/>
                            <a:gd name="adj2" fmla="val -59449"/>
                          </a:avLst>
                        </a:prstGeom>
                        <a:solidFill>
                          <a:srgbClr val="E2EFD9"/>
                        </a:solidFill>
                        <a:ln w="12700" cap="flat" cmpd="sng">
                          <a:solidFill>
                            <a:srgbClr val="A8D08D"/>
                          </a:solidFill>
                          <a:prstDash val="solid"/>
                          <a:miter/>
                          <a:headEnd type="none" w="med" len="med"/>
                          <a:tailEnd type="none" w="med" len="med"/>
                        </a:ln>
                      </wps:spPr>
                      <wps:txbx>
                        <w:txbxContent>
                          <w:p w14:paraId="4150BCC7">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1A4FC297">
                            <w:pPr>
                              <w:snapToGrid w:val="0"/>
                              <w:rPr>
                                <w:rFonts w:ascii="Times New Roman" w:hAnsi="Times New Roman" w:cs="Times New Roman"/>
                                <w:color w:val="3F3F3F" w:themeColor="text1" w:themeTint="BF"/>
                                <w:sz w:val="18"/>
                                <w:szCs w:val="18"/>
                              </w:rPr>
                            </w:pPr>
                            <w:r>
                              <w:rPr>
                                <w:rFonts w:ascii="Times New Roman" w:hAnsi="Times New Roman" w:cs="Times New Roman"/>
                                <w:color w:val="3F3F3F" w:themeColor="text1" w:themeTint="BF"/>
                                <w:sz w:val="18"/>
                                <w:szCs w:val="18"/>
                              </w:rPr>
                              <w:t>We are exploring new models of financial services for the livestock industry through government-bank cooperation to invigorate industrial development. In 2024, the agricultural bank system in Hunan Province will issue “Five-in-One” Smart Livestock Loans of over 5 billion yuan, aiming for 10 billion yuan. In the future, the loans will increase annually in accordance with the financial needs of the livestock industry.</w:t>
                            </w:r>
                          </w:p>
                        </w:txbxContent>
                      </wps:txbx>
                      <wps:bodyPr anchor="ctr" anchorCtr="0" upright="1"/>
                    </wps:wsp>
                  </a:graphicData>
                </a:graphic>
              </wp:anchor>
            </w:drawing>
          </mc:Choice>
          <mc:Fallback>
            <w:pict>
              <v:shape id="矩形标注 34" o:spid="_x0000_s1026" o:spt="61" type="#_x0000_t61" style="position:absolute;left:0pt;margin-left:4.05pt;margin-top:7.5pt;height:82.2pt;width:310.05pt;z-index:251663360;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" adj="1685,-2041">
                <v:fill on="t" focussize="0,0"/>
                <v:stroke weight="1pt" color="#A8D08D" joinstyle="miter"/>
                <v:imagedata o:title=""/>
                <o:lock v:ext="edit" aspectratio="f"/>
                <v:textbox>
                  <w:txbxContent>
                    <w:p w14:paraId="4150BCC7">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1A4FC297">
                      <w:pPr>
                        <w:snapToGrid w:val="0"/>
                        <w:rPr>
                          <w:rFonts w:ascii="Times New Roman" w:hAnsi="Times New Roman" w:cs="Times New Roman"/>
                          <w:color w:val="3F3F3F" w:themeColor="text1" w:themeTint="BF"/>
                          <w:sz w:val="18"/>
                          <w:szCs w:val="18"/>
                        </w:rPr>
                      </w:pPr>
                      <w:r>
                        <w:rPr>
                          <w:rFonts w:ascii="Times New Roman" w:hAnsi="Times New Roman" w:cs="Times New Roman"/>
                          <w:color w:val="3F3F3F" w:themeColor="text1" w:themeTint="BF"/>
                          <w:sz w:val="18"/>
                          <w:szCs w:val="18"/>
                        </w:rPr>
                        <w:t>We are exploring new models of financial services for the livestock industry through government-bank cooperation to invigorate industrial development. In 2024, the agricultural bank system in Hunan Province will issue “Five-in-One” Smart Livestock Loans of over 5 billion yuan, aiming for 10 billion yuan. In the future, the loans will increase annually in accordance with the financial needs of the livestock industry.</w:t>
                      </w:r>
                    </w:p>
                  </w:txbxContent>
                </v:textbox>
              </v:shape>
            </w:pict>
          </mc:Fallback>
        </mc:AlternateContent>
      </w:r>
    </w:p>
    <w:p w14:paraId="35C9D1B6">
      <w:pPr>
        <w:rPr>
          <w:i/>
          <w:iCs/>
        </w:rPr>
      </w:pPr>
    </w:p>
    <w:p w14:paraId="4F607860">
      <w:pPr>
        <w:rPr>
          <w:i/>
          <w:iCs/>
        </w:rPr>
      </w:pPr>
    </w:p>
    <w:p w14:paraId="2EF0A88E">
      <w:pPr>
        <w:rPr>
          <w:i/>
          <w:iCs/>
        </w:rPr>
      </w:pPr>
    </w:p>
    <w:p w14:paraId="024DD57F">
      <w:pPr>
        <w:snapToGrid w:val="0"/>
        <w:spacing w:line="360" w:lineRule="exact"/>
        <w:rPr>
          <w:rFonts w:ascii="Times New Roman" w:hAnsi="Times New Roman" w:eastAsia="仿宋" w:cs="Times New Roman"/>
          <w:b/>
          <w:bCs/>
          <w:sz w:val="20"/>
          <w:szCs w:val="21"/>
        </w:rPr>
      </w:pPr>
    </w:p>
    <w:p w14:paraId="2E04933F">
      <w:pPr>
        <w:pStyle w:val="85"/>
        <w:numPr>
          <w:ilvl w:val="0"/>
          <w:numId w:val="3"/>
        </w:numPr>
        <w:ind w:left="426" w:hanging="142" w:firstLineChars="0"/>
        <w:rPr>
          <w:i/>
          <w:iCs/>
        </w:rPr>
      </w:pPr>
      <w:r>
        <w:rPr>
          <w:i/>
          <w:iCs/>
        </w:rPr>
        <w:t>Several Measures for Promoting High Quality Development of Modern Facility Fisheries in Hunan Province (2024-2026) (Trial)</w:t>
      </w:r>
    </w:p>
    <w:p w14:paraId="55501518">
      <w:pPr>
        <w:pStyle w:val="85"/>
        <w:numPr>
          <w:ilvl w:val="0"/>
          <w:numId w:val="3"/>
        </w:numPr>
        <w:ind w:left="426" w:hanging="142" w:firstLineChars="0"/>
        <w:rPr>
          <w:i/>
          <w:iCs/>
        </w:rPr>
      </w:pPr>
      <w:r>
        <w:rPr>
          <w:i/>
          <w:iCs/>
        </w:rPr>
        <w:t>Measures for Cultivating “Three Merits” Benchmark Enterprises in Consumer Goods Industry in Hunan Province</w:t>
      </w:r>
    </w:p>
    <w:p w14:paraId="64C79919">
      <w:pPr>
        <w:pStyle w:val="85"/>
        <w:numPr>
          <w:ilvl w:val="0"/>
          <w:numId w:val="3"/>
        </w:numPr>
        <w:ind w:left="426" w:hanging="142" w:firstLineChars="0"/>
        <w:rPr>
          <w:i/>
          <w:iCs/>
        </w:rPr>
      </w:pPr>
      <w:r>
        <w:rPr>
          <w:i/>
          <w:iCs/>
        </w:rPr>
        <w:t>Measures for Cultivating Traditional Competitive Food Producing Areas and Specialized Industries in Hunan Province</w:t>
      </w:r>
    </w:p>
    <w:p w14:paraId="3E571132">
      <w:pPr>
        <w:pStyle w:val="85"/>
        <w:numPr>
          <w:ilvl w:val="0"/>
          <w:numId w:val="3"/>
        </w:numPr>
        <w:ind w:left="426" w:hanging="142" w:firstLineChars="0"/>
        <w:rPr>
          <w:i/>
          <w:iCs/>
        </w:rPr>
      </w:pPr>
      <w:r>
        <w:rPr>
          <w:i/>
          <w:iCs/>
        </w:rPr>
        <w:t>Regulations on Promoting the Development of Tea Industry in Hunan Province</w:t>
      </w:r>
    </w:p>
    <w:p w14:paraId="05D94D78">
      <w:pPr>
        <w:pStyle w:val="85"/>
        <w:numPr>
          <w:ilvl w:val="0"/>
          <w:numId w:val="3"/>
        </w:numPr>
        <w:ind w:left="426" w:hanging="142" w:firstLineChars="0"/>
        <w:rPr>
          <w:i/>
          <w:iCs/>
        </w:rPr>
      </w:pPr>
      <w:r>
        <w:rPr>
          <w:i/>
          <w:iCs/>
        </w:rPr>
        <w:t>14th Five-Year Plan for the Development of Grain and Oil Industry in Hunan Province</w:t>
      </w:r>
    </w:p>
    <w:p w14:paraId="3EE32F6F">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80768" behindDoc="0" locked="0" layoutInCell="1" allowOverlap="1">
                <wp:simplePos x="0" y="0"/>
                <wp:positionH relativeFrom="margin">
                  <wp:posOffset>3113405</wp:posOffset>
                </wp:positionH>
                <wp:positionV relativeFrom="margin">
                  <wp:posOffset>2647950</wp:posOffset>
                </wp:positionV>
                <wp:extent cx="914400" cy="962025"/>
                <wp:effectExtent l="6350" t="6350" r="8890" b="6985"/>
                <wp:wrapSquare wrapText="bothSides"/>
                <wp:docPr id="42" name="文本框 8"/>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5136F766">
                            <w:pPr>
                              <w:pStyle w:val="92"/>
                              <w:adjustRightInd w:val="0"/>
                            </w:pPr>
                            <w:r>
                              <w:drawing>
                                <wp:inline distT="0" distB="0" distL="0" distR="0">
                                  <wp:extent cx="722630" cy="722630"/>
                                  <wp:effectExtent l="0" t="0" r="1270" b="127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48">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2AF9B491">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txbxContent>
                      </wps:txbx>
                      <wps:bodyPr upright="1"/>
                    </wps:wsp>
                  </a:graphicData>
                </a:graphic>
              </wp:anchor>
            </w:drawing>
          </mc:Choice>
          <mc:Fallback>
            <w:pict>
              <v:shape id="文本框 8" o:spid="_x0000_s1026" o:spt="202" type="#_x0000_t202" style="position:absolute;left:0pt;margin-left:245.15pt;margin-top:208.5pt;height:75.75pt;width:72pt;mso-position-horizontal-relative:margin;mso-position-vertical-relative:margin;mso-wrap-distance-bottom:0pt;mso-wrap-distance-left:9pt;mso-wrap-distance-right:9pt;mso-wrap-distance-top:0pt;z-index:251680768;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">
                <v:fill on="f" focussize="0,0"/>
                <v:stroke weight="1pt" color="#A8D08D" joinstyle="miter"/>
                <v:imagedata o:title=""/>
                <o:lock v:ext="edit" aspectratio="f"/>
                <v:textbox>
                  <w:txbxContent>
                    <w:p w14:paraId="5136F766">
                      <w:pPr>
                        <w:pStyle w:val="92"/>
                        <w:adjustRightInd w:val="0"/>
                      </w:pPr>
                      <w:r>
                        <w:drawing>
                          <wp:inline distT="0" distB="0" distL="0" distR="0">
                            <wp:extent cx="722630" cy="722630"/>
                            <wp:effectExtent l="0" t="0" r="1270" b="127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48">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2AF9B491">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txbxContent>
                </v:textbox>
                <w10:wrap type="square"/>
              </v:shape>
            </w:pict>
          </mc:Fallback>
        </mc:AlternateContent>
      </w:r>
      <w:r>
        <w:rPr>
          <w:i/>
          <w:iCs/>
        </w:rPr>
        <w:t>Development Plan for Oil Tea Industry to Achieve 100 Billion Yuan Output in Hunan Province (2018-2025)</w:t>
      </w:r>
    </w:p>
    <w:p w14:paraId="561F8496">
      <w:pPr>
        <w:pStyle w:val="85"/>
        <w:numPr>
          <w:ilvl w:val="0"/>
          <w:numId w:val="3"/>
        </w:numPr>
        <w:ind w:left="426" w:hanging="142" w:firstLineChars="0"/>
        <w:rPr>
          <w:i/>
          <w:iCs/>
        </w:rPr>
      </w:pPr>
      <w:r>
        <w:rPr>
          <w:i/>
          <w:iCs/>
        </w:rPr>
        <w:t>Management Measures of Special Funds for 100-Billion-Yuan-Output Grain and Oil Industry Project in Hunan Province</w:t>
      </w:r>
    </w:p>
    <w:p w14:paraId="5DB52A08">
      <w:pPr>
        <w:adjustRightInd w:val="0"/>
        <w:snapToGrid w:val="0"/>
        <w:spacing w:beforeLines="50" w:afterLines="20"/>
        <w:jc w:val="center"/>
        <w:rPr>
          <w:rFonts w:ascii="Times New Roman" w:hAnsi="Times New Roman" w:eastAsia="仿宋" w:cs="Times New Roman"/>
          <w:sz w:val="18"/>
          <w:szCs w:val="16"/>
        </w:rPr>
      </w:pPr>
      <w:bookmarkStart w:id="60" w:name="_Toc131156281"/>
      <w:bookmarkStart w:id="61" w:name="_Toc130669150"/>
      <w:bookmarkStart w:id="62" w:name="_Toc130837932"/>
      <w:bookmarkStart w:id="63" w:name="_Toc129701367"/>
      <w:bookmarkStart w:id="64" w:name="_Toc129010573"/>
      <w:bookmarkStart w:id="65" w:name="_Toc24459"/>
      <w:bookmarkStart w:id="66" w:name="_Toc128041749"/>
      <w:bookmarkStart w:id="67" w:name="_Toc128033717"/>
      <w:bookmarkStart w:id="68" w:name="_Toc130837035"/>
      <w:r>
        <w:rPr>
          <w:rFonts w:ascii="Times New Roman" w:hAnsi="Times New Roman" w:eastAsia="仿宋" w:cs="Times New Roman"/>
          <w:sz w:val="18"/>
          <w:szCs w:val="20"/>
        </w:rPr>
        <w:t>Funds supporting the food processing industry</w:t>
      </w:r>
    </w:p>
    <w:tbl>
      <w:tblPr>
        <w:tblStyle w:val="44"/>
        <w:tblW w:w="5015" w:type="pct"/>
        <w:tblInd w:w="0" w:type="dxa"/>
        <w:tblBorders>
          <w:top w:val="single" w:color="9BBB59" w:sz="4" w:space="0"/>
          <w:left w:val="none" w:color="auto" w:sz="0" w:space="0"/>
          <w:bottom w:val="single" w:color="9BBB59"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1"/>
        <w:gridCol w:w="1364"/>
        <w:gridCol w:w="1792"/>
        <w:gridCol w:w="560"/>
        <w:gridCol w:w="736"/>
        <w:gridCol w:w="1613"/>
      </w:tblGrid>
      <w:tr w14:paraId="4E7751C2">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5" w:hRule="atLeast"/>
          <w:tblHeader/>
        </w:trPr>
        <w:tc>
          <w:tcPr>
            <w:tcW w:w="310" w:type="pct"/>
            <w:tcBorders>
              <w:bottom w:val="single" w:color="9BBB59" w:sz="4" w:space="0"/>
            </w:tcBorders>
            <w:vAlign w:val="center"/>
          </w:tcPr>
          <w:p w14:paraId="062DC7D1">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No.</w:t>
            </w:r>
          </w:p>
        </w:tc>
        <w:tc>
          <w:tcPr>
            <w:tcW w:w="1055" w:type="pct"/>
            <w:tcBorders>
              <w:bottom w:val="single" w:color="9BBB59" w:sz="4" w:space="0"/>
            </w:tcBorders>
            <w:vAlign w:val="center"/>
          </w:tcPr>
          <w:p w14:paraId="6EF7ECF7">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Fund</w:t>
            </w:r>
          </w:p>
        </w:tc>
        <w:tc>
          <w:tcPr>
            <w:tcW w:w="1386" w:type="pct"/>
            <w:tcBorders>
              <w:bottom w:val="single" w:color="9BBB59" w:sz="4" w:space="0"/>
            </w:tcBorders>
            <w:vAlign w:val="center"/>
          </w:tcPr>
          <w:p w14:paraId="3EF56D98">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Sector</w:t>
            </w:r>
          </w:p>
        </w:tc>
        <w:tc>
          <w:tcPr>
            <w:tcW w:w="433" w:type="pct"/>
            <w:tcBorders>
              <w:bottom w:val="single" w:color="9BBB59" w:sz="4" w:space="0"/>
            </w:tcBorders>
            <w:vAlign w:val="center"/>
          </w:tcPr>
          <w:p w14:paraId="7BFF2253">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Est. Time</w:t>
            </w:r>
          </w:p>
        </w:tc>
        <w:tc>
          <w:tcPr>
            <w:tcW w:w="569" w:type="pct"/>
            <w:tcBorders>
              <w:bottom w:val="single" w:color="9BBB59" w:sz="4" w:space="0"/>
            </w:tcBorders>
            <w:vAlign w:val="center"/>
          </w:tcPr>
          <w:p w14:paraId="3CF5F8B1">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Scale (RMB)</w:t>
            </w:r>
          </w:p>
        </w:tc>
        <w:tc>
          <w:tcPr>
            <w:tcW w:w="1247" w:type="pct"/>
            <w:tcBorders>
              <w:bottom w:val="single" w:color="9BBB59" w:sz="4" w:space="0"/>
            </w:tcBorders>
            <w:vAlign w:val="center"/>
          </w:tcPr>
          <w:p w14:paraId="48036AEE">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Remarks</w:t>
            </w:r>
          </w:p>
        </w:tc>
      </w:tr>
      <w:tr w14:paraId="38EB1F93">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3" w:hRule="atLeast"/>
        </w:trPr>
        <w:tc>
          <w:tcPr>
            <w:tcW w:w="310" w:type="pct"/>
            <w:shd w:val="clear" w:color="auto" w:fill="EAF1DD"/>
            <w:vAlign w:val="center"/>
          </w:tcPr>
          <w:p w14:paraId="1C128DCD">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20"/>
              </w:rPr>
            </w:pPr>
            <w:r>
              <w:rPr>
                <w:rFonts w:ascii="Times New Roman" w:hAnsi="Times New Roman" w:eastAsia="仿宋" w:cs="Times New Roman"/>
                <w:b w:val="0"/>
                <w:bCs w:val="0"/>
                <w:color w:val="auto"/>
                <w:kern w:val="0"/>
                <w:sz w:val="18"/>
                <w:szCs w:val="20"/>
              </w:rPr>
              <w:t>1</w:t>
            </w:r>
          </w:p>
        </w:tc>
        <w:tc>
          <w:tcPr>
            <w:tcW w:w="1055" w:type="pct"/>
            <w:shd w:val="clear" w:color="auto" w:fill="EAF1DD"/>
            <w:vAlign w:val="center"/>
          </w:tcPr>
          <w:p w14:paraId="59F32ED2">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Changsha Industrial Development Fund of Funds (FOF)</w:t>
            </w:r>
          </w:p>
        </w:tc>
        <w:tc>
          <w:tcPr>
            <w:tcW w:w="1386" w:type="pct"/>
            <w:shd w:val="clear" w:color="auto" w:fill="EAF1DD"/>
            <w:vAlign w:val="center"/>
          </w:tcPr>
          <w:p w14:paraId="53B5DD89">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Changsha’s 22 industrial and emerging competitive industrial chains and “1+2+N” advanced manufacturing clusters, including green food</w:t>
            </w:r>
          </w:p>
        </w:tc>
        <w:tc>
          <w:tcPr>
            <w:tcW w:w="433" w:type="pct"/>
            <w:shd w:val="clear" w:color="auto" w:fill="EAF1DD"/>
            <w:vAlign w:val="center"/>
          </w:tcPr>
          <w:p w14:paraId="1A9DB8E3">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2023</w:t>
            </w:r>
          </w:p>
        </w:tc>
        <w:tc>
          <w:tcPr>
            <w:tcW w:w="569" w:type="pct"/>
            <w:shd w:val="clear" w:color="auto" w:fill="EAF1DD"/>
            <w:vAlign w:val="center"/>
          </w:tcPr>
          <w:p w14:paraId="309E4AE2">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30 billion</w:t>
            </w:r>
          </w:p>
        </w:tc>
        <w:tc>
          <w:tcPr>
            <w:tcW w:w="1247" w:type="pct"/>
            <w:shd w:val="clear" w:color="auto" w:fill="EAF1DD"/>
            <w:vAlign w:val="center"/>
          </w:tcPr>
          <w:p w14:paraId="5030B55E">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Established under the leadership of Changsha Investment Holding Group</w:t>
            </w:r>
          </w:p>
        </w:tc>
      </w:tr>
      <w:tr w14:paraId="3EDBA5BE">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2" w:hRule="atLeast"/>
        </w:trPr>
        <w:tc>
          <w:tcPr>
            <w:tcW w:w="310" w:type="pct"/>
            <w:vAlign w:val="center"/>
          </w:tcPr>
          <w:p w14:paraId="3D623803">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20"/>
              </w:rPr>
            </w:pPr>
            <w:r>
              <w:rPr>
                <w:rFonts w:ascii="Times New Roman" w:hAnsi="Times New Roman" w:eastAsia="仿宋" w:cs="Times New Roman"/>
                <w:b w:val="0"/>
                <w:bCs w:val="0"/>
                <w:color w:val="auto"/>
                <w:kern w:val="0"/>
                <w:sz w:val="18"/>
                <w:szCs w:val="20"/>
              </w:rPr>
              <w:t>2</w:t>
            </w:r>
          </w:p>
        </w:tc>
        <w:tc>
          <w:tcPr>
            <w:tcW w:w="1055" w:type="pct"/>
            <w:vAlign w:val="center"/>
          </w:tcPr>
          <w:p w14:paraId="74D9FDE0">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Hunan Xiangjiang Shengshi Stock Investment Fund</w:t>
            </w:r>
          </w:p>
        </w:tc>
        <w:tc>
          <w:tcPr>
            <w:tcW w:w="1386" w:type="pct"/>
            <w:vAlign w:val="center"/>
          </w:tcPr>
          <w:p w14:paraId="6565B23F">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Food and home appliance industry and other “10 + 6” industrial chains</w:t>
            </w:r>
          </w:p>
        </w:tc>
        <w:tc>
          <w:tcPr>
            <w:tcW w:w="433" w:type="pct"/>
            <w:vAlign w:val="center"/>
          </w:tcPr>
          <w:p w14:paraId="77794254">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2017</w:t>
            </w:r>
          </w:p>
        </w:tc>
        <w:tc>
          <w:tcPr>
            <w:tcW w:w="569" w:type="pct"/>
            <w:vAlign w:val="center"/>
          </w:tcPr>
          <w:p w14:paraId="381F79C0">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 billion</w:t>
            </w:r>
          </w:p>
        </w:tc>
        <w:tc>
          <w:tcPr>
            <w:tcW w:w="1247" w:type="pct"/>
            <w:vAlign w:val="center"/>
          </w:tcPr>
          <w:p w14:paraId="04E7327E">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Initiated by Hunan Xiangjiang New Area</w:t>
            </w:r>
          </w:p>
        </w:tc>
      </w:tr>
      <w:tr w14:paraId="059D5B5C">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5" w:hRule="atLeast"/>
        </w:trPr>
        <w:tc>
          <w:tcPr>
            <w:tcW w:w="310" w:type="pct"/>
            <w:shd w:val="clear" w:color="auto" w:fill="EAF1DD"/>
            <w:vAlign w:val="center"/>
          </w:tcPr>
          <w:p w14:paraId="039A52BC">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20"/>
              </w:rPr>
            </w:pPr>
            <w:r>
              <w:rPr>
                <w:rFonts w:ascii="Times New Roman" w:hAnsi="Times New Roman" w:eastAsia="仿宋" w:cs="Times New Roman"/>
                <w:b w:val="0"/>
                <w:bCs w:val="0"/>
                <w:color w:val="auto"/>
                <w:kern w:val="0"/>
                <w:sz w:val="18"/>
                <w:szCs w:val="20"/>
              </w:rPr>
              <w:t>3</w:t>
            </w:r>
          </w:p>
        </w:tc>
        <w:tc>
          <w:tcPr>
            <w:tcW w:w="1055" w:type="pct"/>
            <w:shd w:val="clear" w:color="auto" w:fill="EAF1DD"/>
            <w:vAlign w:val="center"/>
          </w:tcPr>
          <w:p w14:paraId="61A3BEDD">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Yueyang Caijin Taiyou Industrial Investment Fund</w:t>
            </w:r>
          </w:p>
        </w:tc>
        <w:tc>
          <w:tcPr>
            <w:tcW w:w="1386" w:type="pct"/>
            <w:shd w:val="clear" w:color="auto" w:fill="EAF1DD"/>
            <w:vAlign w:val="center"/>
          </w:tcPr>
          <w:p w14:paraId="5A4D16DB">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Food processing, petrochemicals, etc.</w:t>
            </w:r>
          </w:p>
        </w:tc>
        <w:tc>
          <w:tcPr>
            <w:tcW w:w="433" w:type="pct"/>
            <w:shd w:val="clear" w:color="auto" w:fill="EAF1DD"/>
            <w:vAlign w:val="center"/>
          </w:tcPr>
          <w:p w14:paraId="1A7F6DAD">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2021</w:t>
            </w:r>
          </w:p>
        </w:tc>
        <w:tc>
          <w:tcPr>
            <w:tcW w:w="569" w:type="pct"/>
            <w:shd w:val="clear" w:color="auto" w:fill="EAF1DD"/>
            <w:vAlign w:val="center"/>
          </w:tcPr>
          <w:p w14:paraId="4E963D51">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Phase Ⅰ: 500 million</w:t>
            </w:r>
          </w:p>
        </w:tc>
        <w:tc>
          <w:tcPr>
            <w:tcW w:w="1247" w:type="pct"/>
            <w:shd w:val="clear" w:color="auto" w:fill="EAF1DD"/>
            <w:vAlign w:val="center"/>
          </w:tcPr>
          <w:p w14:paraId="2A5A364D">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Jointly established by stakeholders including Yueyang Caijin High-tech Industrial Investment and Yueyang Construction and Investment Group</w:t>
            </w:r>
          </w:p>
        </w:tc>
      </w:tr>
      <w:tr w14:paraId="1B39A35C">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2" w:hRule="atLeast"/>
        </w:trPr>
        <w:tc>
          <w:tcPr>
            <w:tcW w:w="310" w:type="pct"/>
            <w:vAlign w:val="center"/>
          </w:tcPr>
          <w:p w14:paraId="29E6DFE1">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20"/>
              </w:rPr>
            </w:pPr>
            <w:r>
              <w:rPr>
                <w:rFonts w:ascii="Times New Roman" w:hAnsi="Times New Roman" w:eastAsia="仿宋" w:cs="Times New Roman"/>
                <w:b w:val="0"/>
                <w:bCs w:val="0"/>
                <w:color w:val="auto"/>
                <w:kern w:val="0"/>
                <w:sz w:val="18"/>
                <w:szCs w:val="20"/>
              </w:rPr>
              <w:t>4</w:t>
            </w:r>
          </w:p>
        </w:tc>
        <w:tc>
          <w:tcPr>
            <w:tcW w:w="1055" w:type="pct"/>
            <w:vAlign w:val="center"/>
          </w:tcPr>
          <w:p w14:paraId="3C03B0F5">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Huaihua City Industrial Development Guidance Fund</w:t>
            </w:r>
          </w:p>
        </w:tc>
        <w:tc>
          <w:tcPr>
            <w:tcW w:w="1386" w:type="pct"/>
            <w:vAlign w:val="center"/>
          </w:tcPr>
          <w:p w14:paraId="28C42597">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Establishment of six development sub-funds for green food, modern trade, and logistics.</w:t>
            </w:r>
          </w:p>
        </w:tc>
        <w:tc>
          <w:tcPr>
            <w:tcW w:w="433" w:type="pct"/>
            <w:vAlign w:val="center"/>
          </w:tcPr>
          <w:p w14:paraId="4FC49C01">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2019</w:t>
            </w:r>
          </w:p>
        </w:tc>
        <w:tc>
          <w:tcPr>
            <w:tcW w:w="569" w:type="pct"/>
            <w:vAlign w:val="center"/>
          </w:tcPr>
          <w:p w14:paraId="7896D7EB">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1 billion</w:t>
            </w:r>
          </w:p>
          <w:p w14:paraId="492F3570">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phase Ⅰ: 100 million</w:t>
            </w:r>
          </w:p>
        </w:tc>
        <w:tc>
          <w:tcPr>
            <w:tcW w:w="1247" w:type="pct"/>
            <w:vAlign w:val="center"/>
          </w:tcPr>
          <w:p w14:paraId="6C8BBE61">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p>
        </w:tc>
      </w:tr>
      <w:tr w14:paraId="5DCE2553">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5" w:hRule="atLeast"/>
        </w:trPr>
        <w:tc>
          <w:tcPr>
            <w:tcW w:w="310" w:type="pct"/>
            <w:shd w:val="clear" w:color="auto" w:fill="EAF1DD"/>
            <w:vAlign w:val="center"/>
          </w:tcPr>
          <w:p w14:paraId="60B7C343">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20"/>
              </w:rPr>
            </w:pPr>
            <w:r>
              <w:rPr>
                <w:rFonts w:ascii="Times New Roman" w:hAnsi="Times New Roman" w:eastAsia="仿宋" w:cs="Times New Roman"/>
                <w:b w:val="0"/>
                <w:bCs w:val="0"/>
                <w:color w:val="auto"/>
                <w:kern w:val="0"/>
                <w:sz w:val="18"/>
                <w:szCs w:val="20"/>
              </w:rPr>
              <w:t>5</w:t>
            </w:r>
          </w:p>
        </w:tc>
        <w:tc>
          <w:tcPr>
            <w:tcW w:w="1055" w:type="pct"/>
            <w:shd w:val="clear" w:color="auto" w:fill="EAF1DD"/>
            <w:vAlign w:val="center"/>
          </w:tcPr>
          <w:p w14:paraId="5C53956D">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Changde Jiashan Yuexiu Biomedical and Health Food Investment Fund</w:t>
            </w:r>
          </w:p>
        </w:tc>
        <w:tc>
          <w:tcPr>
            <w:tcW w:w="1386" w:type="pct"/>
            <w:shd w:val="clear" w:color="auto" w:fill="EAF1DD"/>
            <w:vAlign w:val="center"/>
          </w:tcPr>
          <w:p w14:paraId="17F90B3D">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Biomedicine and health food industries.</w:t>
            </w:r>
          </w:p>
        </w:tc>
        <w:tc>
          <w:tcPr>
            <w:tcW w:w="433" w:type="pct"/>
            <w:shd w:val="clear" w:color="auto" w:fill="EAF1DD"/>
            <w:vAlign w:val="center"/>
          </w:tcPr>
          <w:p w14:paraId="152693DF">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2019</w:t>
            </w:r>
          </w:p>
        </w:tc>
        <w:tc>
          <w:tcPr>
            <w:tcW w:w="569" w:type="pct"/>
            <w:shd w:val="clear" w:color="auto" w:fill="EAF1DD"/>
            <w:vAlign w:val="center"/>
          </w:tcPr>
          <w:p w14:paraId="5D72944A">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1 billion</w:t>
            </w:r>
          </w:p>
        </w:tc>
        <w:tc>
          <w:tcPr>
            <w:tcW w:w="1247" w:type="pct"/>
            <w:shd w:val="clear" w:color="auto" w:fill="EAF1DD"/>
            <w:vAlign w:val="center"/>
          </w:tcPr>
          <w:p w14:paraId="795F4D98">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Jointly established by Changde Caixin Financial Control Group, Jinshi Municipal People’s Government and Yuexiu Industrial Fund</w:t>
            </w:r>
          </w:p>
        </w:tc>
      </w:tr>
      <w:bookmarkEnd w:id="60"/>
      <w:bookmarkEnd w:id="61"/>
      <w:bookmarkEnd w:id="62"/>
      <w:bookmarkEnd w:id="63"/>
      <w:bookmarkEnd w:id="64"/>
      <w:bookmarkEnd w:id="65"/>
      <w:bookmarkEnd w:id="66"/>
      <w:bookmarkEnd w:id="67"/>
      <w:bookmarkEnd w:id="68"/>
    </w:tbl>
    <w:p w14:paraId="686C36D5">
      <w:pPr>
        <w:keepNext/>
        <w:snapToGrid w:val="0"/>
        <w:spacing w:line="360" w:lineRule="exact"/>
        <w:ind w:firstLine="442" w:firstLineChars="200"/>
        <w:outlineLvl w:val="2"/>
        <w:rPr>
          <w:rFonts w:ascii="Times New Roman" w:hAnsi="Times New Roman" w:eastAsia="黑体" w:cs="Times New Roman"/>
          <w:b/>
          <w:sz w:val="22"/>
          <w:szCs w:val="24"/>
        </w:rPr>
      </w:pPr>
      <w:bookmarkStart w:id="69" w:name="_Toc163910311"/>
      <w:r>
        <w:rPr>
          <w:rFonts w:ascii="Times New Roman" w:hAnsi="Times New Roman" w:eastAsia="黑体" w:cs="Times New Roman"/>
          <w:b/>
          <w:sz w:val="22"/>
          <w:szCs w:val="24"/>
        </w:rPr>
        <w:t>(4) Investment O</w:t>
      </w:r>
      <w:r>
        <w:rPr>
          <w:rFonts w:hint="eastAsia" w:ascii="Times New Roman" w:hAnsi="Times New Roman" w:eastAsia="黑体" w:cs="Times New Roman"/>
          <w:b/>
          <w:sz w:val="22"/>
          <w:szCs w:val="24"/>
        </w:rPr>
        <w:t>rientation</w:t>
      </w:r>
      <w:r>
        <w:rPr>
          <w:rFonts w:ascii="Times New Roman" w:hAnsi="Times New Roman" w:eastAsia="黑体" w:cs="Times New Roman"/>
          <w:b/>
          <w:sz w:val="22"/>
          <w:szCs w:val="24"/>
        </w:rPr>
        <w:t xml:space="preserve"> and Industrial Layout</w:t>
      </w:r>
      <w:bookmarkEnd w:id="69"/>
    </w:p>
    <w:p w14:paraId="0A697F66">
      <w:pPr>
        <w:snapToGrid w:val="0"/>
        <w:spacing w:line="360" w:lineRule="exact"/>
        <w:ind w:firstLine="422" w:firstLineChars="200"/>
        <w:rPr>
          <w:rFonts w:hint="eastAsia" w:ascii="Times New Roman" w:hAnsi="Times New Roman" w:eastAsia="黑体" w:cs="Times New Roman"/>
          <w:bCs/>
        </w:rPr>
      </w:pPr>
      <w:bookmarkStart w:id="70" w:name="_Hlk163831716"/>
      <w:r>
        <w:rPr>
          <w:rFonts w:ascii="Times New Roman" w:hAnsi="Times New Roman" w:eastAsia="黑体" w:cs="Times New Roman"/>
          <w:b/>
        </w:rPr>
        <w:t>Agricultural and sideline products deep processing</w:t>
      </w:r>
      <w:bookmarkEnd w:id="70"/>
      <w:r>
        <w:rPr>
          <w:rFonts w:ascii="Times New Roman" w:hAnsi="Times New Roman" w:eastAsia="黑体" w:cs="Times New Roman"/>
          <w:b/>
        </w:rPr>
        <w:t>.</w:t>
      </w:r>
      <w:r>
        <w:rPr>
          <w:rFonts w:ascii="Times New Roman" w:hAnsi="Times New Roman" w:eastAsia="黑体" w:cs="Times New Roman"/>
          <w:bCs/>
        </w:rPr>
        <w:t xml:space="preserve"> Based on Wangcheng ETDZ and Changde ETDZ, with a focus on the grain and oil processing industrial chain, we aim to attract enterprises specializing in special rice and flour for food processing, nutritious and health-supplement flour products, deep processing of tea oil, vegetable oil, and chili oil, etc. Based on Shimen HTZ and Nanxian ETDZ, with a focus on livestock, poultry, aquatic products, and canned food processing </w:t>
      </w:r>
      <w:r>
        <w:rPr>
          <w:rFonts w:hint="eastAsia" w:ascii="Times New Roman" w:hAnsi="Times New Roman" w:eastAsia="黑体" w:cs="Times New Roman"/>
          <w:bCs/>
        </w:rPr>
        <w:t>industrial chains, we aim to attract enterprises along the entire hog industrial chain and those engaged in deep processing of freshwater fish, crayfish, and low-sugar and mixed canned food processing, etc.</w:t>
      </w:r>
    </w:p>
    <w:p w14:paraId="0727DB7F">
      <w:pPr>
        <w:snapToGrid w:val="0"/>
        <w:spacing w:line="360" w:lineRule="exact"/>
        <w:ind w:firstLine="420" w:firstLineChars="200"/>
        <w:rPr>
          <w:rFonts w:hint="eastAsia" w:ascii="Times New Roman" w:hAnsi="Times New Roman" w:eastAsia="黑体" w:cs="Times New Roman"/>
          <w:bCs/>
        </w:rPr>
      </w:pPr>
      <w:r>
        <w:rPr>
          <w:rFonts w:hint="eastAsia" w:ascii="Times New Roman" w:hAnsi="Times New Roman" w:eastAsia="黑体" w:cs="Times New Roman"/>
          <w:bCs/>
        </w:rPr>
        <w:t>Food manufacturing. Based on Ningxiang ETDZ, Pingjiang HTZ, and Datong Lake IDZ, we aim to attract enterprises specializing in Hunan-style snacks, nutritious and health-supplement condiments, consumer-facing seasoning products for catering industry, dairy products, nutritional food, functional food, and precooked meals, etc.</w:t>
      </w:r>
    </w:p>
    <w:p w14:paraId="7B386C5A">
      <w:pPr>
        <w:snapToGrid w:val="0"/>
        <w:spacing w:line="360" w:lineRule="exact"/>
        <w:ind w:firstLine="420" w:firstLineChars="200"/>
        <w:rPr>
          <w:rFonts w:ascii="Times New Roman" w:hAnsi="Times New Roman" w:eastAsia="黑体" w:cs="Times New Roman"/>
          <w:bCs/>
        </w:rPr>
      </w:pPr>
      <w:r>
        <w:rPr>
          <w:rFonts w:hint="eastAsia" w:ascii="Times New Roman" w:hAnsi="Times New Roman" w:eastAsia="黑体" w:cs="Times New Roman"/>
          <w:bCs/>
        </w:rPr>
        <w:t>Alcohol, beverage &amp; tea. Based on Xiangxi HTZ, Changde ETDZ, and Shaoyang ETDZ, along the whole Baijiu (colorless Chinese liquor) industrial chain, we aim to attract enterprises specializing in pure-grain solid-state fermentation liquor, low-alcohol beverages for women, fruit alcohol, alcohol-based supplement, etc. Based on Anhua ETDZ, Sangzhi IDZ, and Junshan IDZ, with a focus on the tea beverage industrial chain, we aim to attract enterprises specializing in “Xiaoxiang Tea”, “Hunan Black Tea”, “Anhua Dark Tea”, “Yueyang Yellow Tea”, “Sangzhi White Tea”, etc. Based on Yongzhou ETDZ and Zhangjiajie HTZ, with a focus on the soft drink industrial chain, we aim to attract enterprises specializing in fruit and vegetable juice beverages, tea beverages, milk-containing beverages, plant-based protein beverages, etc.</w:t>
      </w:r>
    </w:p>
    <w:p w14:paraId="4C9FD7AF">
      <w:pPr>
        <w:snapToGrid w:val="0"/>
        <w:spacing w:line="360" w:lineRule="exact"/>
        <w:ind w:firstLine="420" w:firstLineChars="200"/>
        <w:rPr>
          <w:rFonts w:ascii="Times New Roman" w:hAnsi="Times New Roman" w:eastAsia="黑体" w:cs="Times New Roman"/>
          <w:bCs/>
        </w:rPr>
      </w:pPr>
    </w:p>
    <w:p w14:paraId="13A1A4F2">
      <w:pPr>
        <w:snapToGrid w:val="0"/>
        <w:spacing w:line="360" w:lineRule="exact"/>
        <w:ind w:firstLine="420" w:firstLineChars="200"/>
        <w:rPr>
          <w:rFonts w:ascii="Times New Roman" w:hAnsi="Times New Roman" w:eastAsia="黑体" w:cs="Times New Roman"/>
          <w:bCs/>
        </w:rPr>
      </w:pPr>
    </w:p>
    <w:p w14:paraId="7CBEB67C">
      <w:pPr>
        <w:snapToGrid w:val="0"/>
        <w:spacing w:line="360" w:lineRule="exact"/>
        <w:ind w:firstLine="420" w:firstLineChars="200"/>
        <w:rPr>
          <w:rFonts w:ascii="Times New Roman" w:hAnsi="Times New Roman" w:eastAsia="黑体" w:cs="Times New Roman"/>
          <w:bCs/>
        </w:rPr>
      </w:pPr>
    </w:p>
    <w:p w14:paraId="7E85876D">
      <w:pPr>
        <w:snapToGrid w:val="0"/>
        <w:spacing w:line="360" w:lineRule="exact"/>
        <w:ind w:firstLine="420" w:firstLineChars="200"/>
        <w:rPr>
          <w:rFonts w:ascii="Times New Roman" w:hAnsi="Times New Roman" w:eastAsia="黑体" w:cs="Times New Roman"/>
          <w:bCs/>
        </w:rPr>
      </w:pPr>
    </w:p>
    <w:p w14:paraId="444B0189">
      <w:pPr>
        <w:snapToGrid w:val="0"/>
        <w:spacing w:line="360" w:lineRule="exact"/>
        <w:ind w:firstLine="420" w:firstLineChars="200"/>
        <w:rPr>
          <w:rFonts w:ascii="Times New Roman" w:hAnsi="Times New Roman" w:eastAsia="黑体" w:cs="Times New Roman"/>
          <w:bCs/>
        </w:rPr>
      </w:pPr>
    </w:p>
    <w:p w14:paraId="58EFAA41">
      <w:pPr>
        <w:snapToGrid w:val="0"/>
        <w:spacing w:line="360" w:lineRule="exact"/>
        <w:ind w:firstLine="420" w:firstLineChars="200"/>
        <w:rPr>
          <w:rFonts w:ascii="Times New Roman" w:hAnsi="Times New Roman" w:eastAsia="黑体" w:cs="Times New Roman"/>
          <w:bCs/>
        </w:rPr>
      </w:pPr>
    </w:p>
    <w:p w14:paraId="3255DE10">
      <w:pPr>
        <w:snapToGrid w:val="0"/>
        <w:spacing w:line="360" w:lineRule="exact"/>
        <w:ind w:firstLine="420" w:firstLineChars="200"/>
        <w:rPr>
          <w:rFonts w:ascii="Times New Roman" w:hAnsi="Times New Roman" w:eastAsia="黑体" w:cs="Times New Roman"/>
          <w:bCs/>
        </w:rPr>
      </w:pPr>
    </w:p>
    <w:p w14:paraId="383A7C4A">
      <w:pPr>
        <w:snapToGrid w:val="0"/>
        <w:spacing w:line="360" w:lineRule="exact"/>
        <w:ind w:firstLine="420" w:firstLineChars="200"/>
        <w:rPr>
          <w:rFonts w:ascii="Times New Roman" w:hAnsi="Times New Roman" w:eastAsia="黑体" w:cs="Times New Roman"/>
          <w:bCs/>
        </w:rPr>
      </w:pPr>
    </w:p>
    <w:p w14:paraId="65DBFC44">
      <w:pPr>
        <w:snapToGrid w:val="0"/>
        <w:spacing w:line="360" w:lineRule="exact"/>
        <w:ind w:firstLine="420" w:firstLineChars="200"/>
        <w:rPr>
          <w:rFonts w:ascii="Times New Roman" w:hAnsi="Times New Roman" w:eastAsia="黑体" w:cs="Times New Roman"/>
          <w:bCs/>
        </w:rPr>
      </w:pPr>
    </w:p>
    <w:p w14:paraId="0E2FF225">
      <w:pPr>
        <w:snapToGrid w:val="0"/>
        <w:spacing w:line="360" w:lineRule="exact"/>
        <w:ind w:firstLine="420" w:firstLineChars="200"/>
        <w:rPr>
          <w:rFonts w:ascii="Times New Roman" w:hAnsi="Times New Roman" w:eastAsia="黑体" w:cs="Times New Roman"/>
          <w:bCs/>
        </w:rPr>
      </w:pPr>
    </w:p>
    <w:p w14:paraId="097D2CFA">
      <w:pPr>
        <w:snapToGrid w:val="0"/>
        <w:spacing w:line="360" w:lineRule="exact"/>
        <w:ind w:firstLine="420" w:firstLineChars="200"/>
        <w:rPr>
          <w:rFonts w:ascii="Times New Roman" w:hAnsi="Times New Roman" w:eastAsia="黑体" w:cs="Times New Roman"/>
          <w:bCs/>
        </w:rPr>
      </w:pPr>
    </w:p>
    <w:p w14:paraId="7D8B5CE4">
      <w:pPr>
        <w:snapToGrid w:val="0"/>
        <w:spacing w:line="360" w:lineRule="exact"/>
        <w:ind w:firstLine="420" w:firstLineChars="200"/>
        <w:rPr>
          <w:rFonts w:ascii="Times New Roman" w:hAnsi="Times New Roman" w:eastAsia="黑体" w:cs="Times New Roman"/>
          <w:bCs/>
        </w:rPr>
      </w:pPr>
    </w:p>
    <w:p w14:paraId="553ADCF9">
      <w:pPr>
        <w:snapToGrid w:val="0"/>
        <w:spacing w:line="360" w:lineRule="exact"/>
        <w:ind w:firstLine="420" w:firstLineChars="200"/>
        <w:rPr>
          <w:rFonts w:ascii="Times New Roman" w:hAnsi="Times New Roman" w:eastAsia="黑体" w:cs="Times New Roman"/>
          <w:bCs/>
        </w:rPr>
      </w:pPr>
    </w:p>
    <w:p w14:paraId="0EAFD697">
      <w:pPr>
        <w:snapToGrid w:val="0"/>
        <w:spacing w:line="360" w:lineRule="exact"/>
        <w:ind w:firstLine="420" w:firstLineChars="200"/>
        <w:rPr>
          <w:rFonts w:ascii="Times New Roman" w:hAnsi="Times New Roman" w:eastAsia="黑体" w:cs="Times New Roman"/>
          <w:bCs/>
        </w:rPr>
      </w:pPr>
    </w:p>
    <w:p w14:paraId="1250B024">
      <w:pPr>
        <w:snapToGrid w:val="0"/>
        <w:rPr>
          <w:rFonts w:ascii="Times New Roman" w:hAnsi="Times New Roman" w:eastAsia="黑体" w:cs="Times New Roman"/>
          <w:bCs/>
        </w:rPr>
      </w:pPr>
    </w:p>
    <w:p w14:paraId="5F74F870">
      <w:pPr>
        <w:snapToGrid w:val="0"/>
        <w:rPr>
          <w:rFonts w:ascii="Times New Roman" w:hAnsi="Times New Roman" w:eastAsia="黑体" w:cs="Times New Roman"/>
          <w:bCs/>
        </w:rPr>
      </w:pPr>
    </w:p>
    <w:p w14:paraId="0CEDB0EC">
      <w:pPr>
        <w:snapToGrid w:val="0"/>
        <w:rPr>
          <w:rFonts w:ascii="Times New Roman" w:hAnsi="Times New Roman" w:eastAsia="黑体" w:cs="Times New Roman"/>
          <w:bCs/>
        </w:rPr>
      </w:pPr>
    </w:p>
    <w:p w14:paraId="52812BA8">
      <w:pPr>
        <w:snapToGrid w:val="0"/>
        <w:rPr>
          <w:rFonts w:ascii="Times New Roman" w:hAnsi="Times New Roman" w:eastAsia="黑体" w:cs="Times New Roman"/>
          <w:bCs/>
        </w:rPr>
      </w:pPr>
    </w:p>
    <w:p w14:paraId="021B06A1">
      <w:pPr>
        <w:snapToGrid w:val="0"/>
        <w:rPr>
          <w:rFonts w:ascii="Times New Roman" w:hAnsi="Times New Roman" w:eastAsia="黑体" w:cs="Times New Roman"/>
          <w:bCs/>
        </w:rPr>
      </w:pPr>
    </w:p>
    <w:p w14:paraId="5C4BC79E">
      <w:pPr>
        <w:snapToGrid w:val="0"/>
        <w:rPr>
          <w:rFonts w:ascii="Times New Roman" w:hAnsi="Times New Roman" w:eastAsia="黑体" w:cs="Times New Roman"/>
          <w:bCs/>
        </w:rPr>
      </w:pPr>
    </w:p>
    <w:p w14:paraId="19C2B99F">
      <w:pPr>
        <w:snapToGrid w:val="0"/>
        <w:rPr>
          <w:rFonts w:ascii="Times New Roman" w:hAnsi="Times New Roman" w:eastAsia="黑体" w:cs="Times New Roman"/>
          <w:bCs/>
        </w:rPr>
      </w:pPr>
      <w:r>
        <w:rPr>
          <w:rFonts w:hint="eastAsia" w:ascii="Times New Roman" w:hAnsi="Times New Roman" w:eastAsia="黑体" w:cs="Times New Roman"/>
          <w:bCs/>
        </w:rPr>
        <w:drawing>
          <wp:anchor distT="0" distB="0" distL="114300" distR="114300" simplePos="0" relativeHeight="251697152" behindDoc="0" locked="0" layoutInCell="1" allowOverlap="1">
            <wp:simplePos x="0" y="0"/>
            <wp:positionH relativeFrom="column">
              <wp:posOffset>-771525</wp:posOffset>
            </wp:positionH>
            <wp:positionV relativeFrom="paragraph">
              <wp:posOffset>51435</wp:posOffset>
            </wp:positionV>
            <wp:extent cx="5572125" cy="3668395"/>
            <wp:effectExtent l="0" t="952500" r="0" b="960755"/>
            <wp:wrapNone/>
            <wp:docPr id="118273321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18" name="图片 6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rot="16200000">
                      <a:off x="0" y="0"/>
                      <a:ext cx="5572125" cy="3668395"/>
                    </a:xfrm>
                    <a:prstGeom prst="rect">
                      <a:avLst/>
                    </a:prstGeom>
                    <a:noFill/>
                    <a:ln>
                      <a:noFill/>
                    </a:ln>
                  </pic:spPr>
                </pic:pic>
              </a:graphicData>
            </a:graphic>
          </wp:anchor>
        </w:drawing>
      </w:r>
    </w:p>
    <w:p w14:paraId="6A522E7F">
      <w:pPr>
        <w:snapToGrid w:val="0"/>
        <w:rPr>
          <w:rFonts w:ascii="Times New Roman" w:hAnsi="Times New Roman" w:eastAsia="黑体" w:cs="Times New Roman"/>
          <w:bCs/>
        </w:rPr>
      </w:pPr>
    </w:p>
    <w:p w14:paraId="339E622A">
      <w:pPr>
        <w:snapToGrid w:val="0"/>
        <w:rPr>
          <w:rFonts w:ascii="Times New Roman" w:hAnsi="Times New Roman" w:eastAsia="黑体" w:cs="Times New Roman"/>
          <w:bCs/>
        </w:rPr>
      </w:pPr>
    </w:p>
    <w:p w14:paraId="6A19B7E3">
      <w:pPr>
        <w:snapToGrid w:val="0"/>
        <w:rPr>
          <w:rFonts w:ascii="Times New Roman" w:hAnsi="Times New Roman" w:eastAsia="黑体" w:cs="Times New Roman"/>
          <w:bCs/>
        </w:rPr>
      </w:pPr>
    </w:p>
    <w:p w14:paraId="3881F1F5">
      <w:pPr>
        <w:snapToGrid w:val="0"/>
        <w:rPr>
          <w:rFonts w:ascii="Times New Roman" w:hAnsi="Times New Roman" w:eastAsia="黑体" w:cs="Times New Roman"/>
          <w:bCs/>
        </w:rPr>
      </w:pPr>
    </w:p>
    <w:p w14:paraId="49011224">
      <w:pPr>
        <w:snapToGrid w:val="0"/>
        <w:rPr>
          <w:rFonts w:ascii="Times New Roman" w:hAnsi="Times New Roman" w:eastAsia="黑体" w:cs="Times New Roman"/>
          <w:bCs/>
        </w:rPr>
      </w:pPr>
    </w:p>
    <w:p w14:paraId="7DF775DD">
      <w:pPr>
        <w:snapToGrid w:val="0"/>
        <w:rPr>
          <w:rFonts w:ascii="Times New Roman" w:hAnsi="Times New Roman" w:eastAsia="黑体" w:cs="Times New Roman"/>
          <w:bCs/>
        </w:rPr>
      </w:pPr>
    </w:p>
    <w:p w14:paraId="343CD2AD">
      <w:pPr>
        <w:snapToGrid w:val="0"/>
        <w:rPr>
          <w:rFonts w:ascii="Times New Roman" w:hAnsi="Times New Roman" w:eastAsia="黑体" w:cs="Times New Roman"/>
          <w:bCs/>
        </w:rPr>
      </w:pPr>
    </w:p>
    <w:p w14:paraId="74EF478A">
      <w:pPr>
        <w:snapToGrid w:val="0"/>
        <w:rPr>
          <w:rFonts w:ascii="Times New Roman" w:hAnsi="Times New Roman" w:eastAsia="黑体" w:cs="Times New Roman"/>
          <w:bCs/>
        </w:rPr>
      </w:pPr>
    </w:p>
    <w:p w14:paraId="623F12B2">
      <w:pPr>
        <w:snapToGrid w:val="0"/>
        <w:rPr>
          <w:rFonts w:ascii="Times New Roman" w:hAnsi="Times New Roman" w:eastAsia="黑体" w:cs="Times New Roman"/>
          <w:bCs/>
        </w:rPr>
      </w:pPr>
    </w:p>
    <w:p w14:paraId="2194C681">
      <w:pPr>
        <w:snapToGrid w:val="0"/>
        <w:rPr>
          <w:rFonts w:ascii="Times New Roman" w:hAnsi="Times New Roman" w:eastAsia="黑体" w:cs="Times New Roman"/>
          <w:bCs/>
        </w:rPr>
      </w:pPr>
    </w:p>
    <w:p w14:paraId="680B58AF">
      <w:pPr>
        <w:snapToGrid w:val="0"/>
        <w:rPr>
          <w:rFonts w:ascii="Times New Roman" w:hAnsi="Times New Roman" w:eastAsia="黑体" w:cs="Times New Roman"/>
          <w:bCs/>
        </w:rPr>
      </w:pPr>
    </w:p>
    <w:p w14:paraId="048475C4">
      <w:pPr>
        <w:snapToGrid w:val="0"/>
        <w:rPr>
          <w:rFonts w:ascii="Times New Roman" w:hAnsi="Times New Roman" w:eastAsia="黑体" w:cs="Times New Roman"/>
          <w:bCs/>
        </w:rPr>
      </w:pPr>
    </w:p>
    <w:p w14:paraId="5B7C2473">
      <w:pPr>
        <w:snapToGrid w:val="0"/>
        <w:rPr>
          <w:rFonts w:ascii="Times New Roman" w:hAnsi="Times New Roman" w:eastAsia="黑体" w:cs="Times New Roman"/>
          <w:bCs/>
        </w:rPr>
      </w:pPr>
    </w:p>
    <w:p w14:paraId="5DC16BE6">
      <w:pPr>
        <w:snapToGrid w:val="0"/>
        <w:rPr>
          <w:rFonts w:ascii="Times New Roman" w:hAnsi="Times New Roman" w:eastAsia="黑体" w:cs="Times New Roman"/>
          <w:bCs/>
        </w:rPr>
      </w:pPr>
    </w:p>
    <w:p w14:paraId="0B42BE2E">
      <w:pPr>
        <w:snapToGrid w:val="0"/>
        <w:rPr>
          <w:rFonts w:ascii="Times New Roman" w:hAnsi="Times New Roman" w:eastAsia="黑体" w:cs="Times New Roman"/>
          <w:bCs/>
        </w:rPr>
      </w:pPr>
    </w:p>
    <w:p w14:paraId="3613ADD0">
      <w:pPr>
        <w:snapToGrid w:val="0"/>
        <w:rPr>
          <w:rFonts w:ascii="Times New Roman" w:hAnsi="Times New Roman" w:eastAsia="黑体" w:cs="Times New Roman"/>
          <w:bCs/>
        </w:rPr>
      </w:pPr>
    </w:p>
    <w:p w14:paraId="24B4E24B">
      <w:pPr>
        <w:snapToGrid w:val="0"/>
        <w:rPr>
          <w:rFonts w:ascii="Times New Roman" w:hAnsi="Times New Roman" w:eastAsia="黑体" w:cs="Times New Roman"/>
          <w:bCs/>
        </w:rPr>
      </w:pPr>
    </w:p>
    <w:p w14:paraId="144005F7">
      <w:pPr>
        <w:snapToGrid w:val="0"/>
        <w:rPr>
          <w:rFonts w:ascii="Times New Roman" w:hAnsi="Times New Roman" w:eastAsia="黑体" w:cs="Times New Roman"/>
          <w:bCs/>
        </w:rPr>
      </w:pPr>
    </w:p>
    <w:p w14:paraId="2CA94C8A">
      <w:pPr>
        <w:snapToGrid w:val="0"/>
        <w:rPr>
          <w:rFonts w:ascii="Times New Roman" w:hAnsi="Times New Roman" w:eastAsia="黑体" w:cs="Times New Roman"/>
          <w:bCs/>
        </w:rPr>
      </w:pPr>
    </w:p>
    <w:p w14:paraId="14E57ECD">
      <w:pPr>
        <w:snapToGrid w:val="0"/>
        <w:rPr>
          <w:rFonts w:ascii="Times New Roman" w:hAnsi="Times New Roman" w:eastAsia="黑体" w:cs="Times New Roman"/>
          <w:bCs/>
        </w:rPr>
      </w:pPr>
    </w:p>
    <w:p w14:paraId="1125C878">
      <w:pPr>
        <w:snapToGrid w:val="0"/>
        <w:rPr>
          <w:rFonts w:ascii="Times New Roman" w:hAnsi="Times New Roman" w:eastAsia="黑体" w:cs="Times New Roman"/>
          <w:bCs/>
        </w:rPr>
      </w:pPr>
    </w:p>
    <w:p w14:paraId="11DE5D5D">
      <w:pPr>
        <w:snapToGrid w:val="0"/>
        <w:rPr>
          <w:rFonts w:ascii="Times New Roman" w:hAnsi="Times New Roman" w:eastAsia="黑体" w:cs="Times New Roman"/>
          <w:bCs/>
        </w:rPr>
      </w:pPr>
    </w:p>
    <w:p w14:paraId="7466CC5B">
      <w:pPr>
        <w:snapToGrid w:val="0"/>
        <w:rPr>
          <w:rFonts w:ascii="Times New Roman" w:hAnsi="Times New Roman" w:eastAsia="黑体" w:cs="Times New Roman"/>
          <w:bCs/>
        </w:rPr>
      </w:pPr>
    </w:p>
    <w:p w14:paraId="75289359">
      <w:pPr>
        <w:snapToGrid w:val="0"/>
        <w:rPr>
          <w:rFonts w:ascii="Times New Roman" w:hAnsi="Times New Roman" w:eastAsia="黑体" w:cs="Times New Roman"/>
          <w:bCs/>
        </w:rPr>
      </w:pPr>
    </w:p>
    <w:p w14:paraId="309F5F8B">
      <w:pPr>
        <w:snapToGrid w:val="0"/>
        <w:rPr>
          <w:rFonts w:ascii="Times New Roman" w:hAnsi="Times New Roman" w:eastAsia="黑体" w:cs="Times New Roman"/>
          <w:bCs/>
        </w:rPr>
      </w:pPr>
    </w:p>
    <w:p w14:paraId="1E19226A">
      <w:pPr>
        <w:snapToGrid w:val="0"/>
        <w:rPr>
          <w:rFonts w:ascii="Times New Roman" w:hAnsi="Times New Roman" w:eastAsia="黑体" w:cs="Times New Roman"/>
          <w:bCs/>
        </w:rPr>
      </w:pPr>
    </w:p>
    <w:p w14:paraId="3758DCC6">
      <w:pPr>
        <w:snapToGrid w:val="0"/>
        <w:rPr>
          <w:rFonts w:ascii="Times New Roman" w:hAnsi="Times New Roman" w:eastAsia="黑体" w:cs="Times New Roman"/>
          <w:bCs/>
        </w:rPr>
      </w:pPr>
    </w:p>
    <w:p w14:paraId="1A5790C2">
      <w:pPr>
        <w:snapToGrid w:val="0"/>
        <w:rPr>
          <w:rFonts w:ascii="Times New Roman" w:hAnsi="Times New Roman" w:eastAsia="黑体" w:cs="Times New Roman"/>
          <w:bCs/>
        </w:rPr>
      </w:pPr>
    </w:p>
    <w:p w14:paraId="358D1103">
      <w:pPr>
        <w:snapToGrid w:val="0"/>
        <w:rPr>
          <w:rFonts w:ascii="Times New Roman" w:hAnsi="Times New Roman" w:eastAsia="黑体" w:cs="Times New Roman"/>
          <w:bCs/>
        </w:rPr>
      </w:pPr>
    </w:p>
    <w:p w14:paraId="3B9CD951">
      <w:pPr>
        <w:snapToGrid w:val="0"/>
        <w:spacing w:line="360" w:lineRule="exact"/>
        <w:ind w:firstLine="300" w:firstLineChars="200"/>
        <w:rPr>
          <w:rFonts w:ascii="Times New Roman" w:hAnsi="Times New Roman" w:cs="Times New Roman"/>
          <w:sz w:val="15"/>
          <w:szCs w:val="15"/>
        </w:rPr>
      </w:pPr>
    </w:p>
    <w:p w14:paraId="556204B2">
      <w:pPr>
        <w:snapToGrid w:val="0"/>
        <w:spacing w:line="360" w:lineRule="exact"/>
        <w:ind w:firstLine="402" w:firstLineChars="200"/>
        <w:rPr>
          <w:rFonts w:ascii="Times New Roman" w:hAnsi="Times New Roman" w:eastAsia="仿宋" w:cs="Times New Roman"/>
          <w:b/>
          <w:sz w:val="20"/>
          <w:szCs w:val="21"/>
        </w:rPr>
        <w:sectPr>
          <w:headerReference r:id="rId8" w:type="default"/>
          <w:pgSz w:w="8391" w:h="11907"/>
          <w:pgMar w:top="1440" w:right="1080" w:bottom="1440" w:left="1080" w:header="680" w:footer="992" w:gutter="0"/>
          <w:cols w:space="720" w:num="1"/>
          <w:docGrid w:type="lines" w:linePitch="381" w:charSpace="0"/>
        </w:sectPr>
      </w:pPr>
    </w:p>
    <w:p w14:paraId="20F60ACD">
      <w:pPr>
        <w:keepNext/>
        <w:snapToGrid w:val="0"/>
        <w:spacing w:afterLines="50" w:line="360" w:lineRule="exact"/>
        <w:jc w:val="center"/>
        <w:outlineLvl w:val="1"/>
        <w:rPr>
          <w:rFonts w:ascii="Times New Roman" w:hAnsi="Times New Roman" w:eastAsia="仿宋" w:cs="Times New Roman"/>
          <w:b/>
          <w:bCs/>
          <w:sz w:val="22"/>
          <w:szCs w:val="24"/>
        </w:rPr>
      </w:pPr>
      <w:bookmarkStart w:id="71" w:name="_Toc163910312"/>
      <w:r>
        <w:rPr>
          <w:rFonts w:ascii="Times New Roman" w:hAnsi="Times New Roman" w:eastAsia="仿宋" w:cs="Times New Roman"/>
          <w:b/>
          <w:bCs/>
          <w:sz w:val="22"/>
          <w:szCs w:val="24"/>
        </w:rPr>
        <w:t>4. Light Industry and Textiles</w:t>
      </w:r>
      <w:bookmarkEnd w:id="71"/>
    </w:p>
    <w:p w14:paraId="649BE220">
      <w:pPr>
        <w:keepNext/>
        <w:snapToGrid w:val="0"/>
        <w:spacing w:line="360" w:lineRule="exact"/>
        <w:ind w:firstLine="442" w:firstLineChars="200"/>
        <w:outlineLvl w:val="2"/>
        <w:rPr>
          <w:rFonts w:ascii="Times New Roman" w:hAnsi="Times New Roman" w:eastAsia="黑体" w:cs="Times New Roman"/>
          <w:b/>
          <w:sz w:val="22"/>
          <w:szCs w:val="24"/>
        </w:rPr>
      </w:pPr>
      <w:bookmarkStart w:id="72" w:name="_Toc163910313"/>
      <w:r>
        <w:rPr>
          <w:rFonts w:ascii="Times New Roman" w:hAnsi="Times New Roman" w:eastAsia="黑体" w:cs="Times New Roman"/>
          <w:b/>
          <w:sz w:val="22"/>
          <w:szCs w:val="24"/>
        </w:rPr>
        <w:t>(1) Development Status</w:t>
      </w:r>
      <w:bookmarkEnd w:id="72"/>
    </w:p>
    <w:p w14:paraId="6B8E8A87">
      <w:pPr>
        <w:snapToGrid w:val="0"/>
        <w:spacing w:line="340" w:lineRule="exact"/>
        <w:ind w:firstLine="440" w:firstLineChars="200"/>
        <w:rPr>
          <w:rFonts w:ascii="Times New Roman" w:hAnsi="Times New Roman" w:eastAsia="仿宋" w:cs="Times New Roman"/>
          <w:sz w:val="22"/>
          <w:szCs w:val="24"/>
        </w:rPr>
      </w:pPr>
      <w:r>
        <w:rPr>
          <w:rFonts w:ascii="Times New Roman" w:hAnsi="Times New Roman" w:eastAsia="仿宋" w:cs="Times New Roman"/>
          <w:sz w:val="22"/>
          <w:szCs w:val="24"/>
        </w:rPr>
        <w:t>Hunan’s tobacco products industry generated a total profit of 13.21 billion yuan, making it China’s top three in comprehensive strength. The province is home to over 74,000 enterprises engaged in firework and firecracker-related business, ranking first in China. The fireworks and firecracker industry cluster in Liuyang City has achieved a total output value of 30.15 billion yuan, maintaining its position as the national leader. The province’s above-scale textile and garment enterprises have recorded a revenue of 115.5 billion yuan, ranking 13th nationwide and 5th in central China. Companies like Hunan Mendale Home Textile and Huasheng Group are among the top performers in the industry nationwide.</w:t>
      </w:r>
    </w:p>
    <w:p w14:paraId="06A0DC39">
      <w:pPr>
        <w:snapToGrid w:val="0"/>
        <w:rPr>
          <w:rFonts w:ascii="Times New Roman" w:hAnsi="Times New Roman" w:eastAsia="仿宋" w:cs="Times New Roman"/>
          <w:sz w:val="22"/>
        </w:rPr>
      </w:pPr>
      <w:r>
        <w:rPr>
          <w:rFonts w:hint="eastAsia"/>
        </w:rPr>
        <w:drawing>
          <wp:inline distT="0" distB="0" distL="0" distR="0">
            <wp:extent cx="4080510" cy="2486025"/>
            <wp:effectExtent l="0" t="0" r="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4086428" cy="2489953"/>
                    </a:xfrm>
                    <a:prstGeom prst="rect">
                      <a:avLst/>
                    </a:prstGeom>
                    <a:noFill/>
                    <a:ln>
                      <a:noFill/>
                    </a:ln>
                  </pic:spPr>
                </pic:pic>
              </a:graphicData>
            </a:graphic>
          </wp:inline>
        </w:drawing>
      </w:r>
    </w:p>
    <w:p w14:paraId="02CE342D">
      <w:pPr>
        <w:snapToGrid w:val="0"/>
        <w:jc w:val="center"/>
        <w:rPr>
          <w:rFonts w:ascii="Times New Roman" w:hAnsi="Times New Roman" w:eastAsia="仿宋" w:cs="Times New Roman"/>
          <w:sz w:val="18"/>
          <w:szCs w:val="20"/>
        </w:rPr>
      </w:pPr>
      <w:bookmarkStart w:id="73" w:name="_Toc129010577"/>
      <w:bookmarkStart w:id="74" w:name="_Toc128041753"/>
      <w:bookmarkStart w:id="75" w:name="_Toc129701371"/>
      <w:r>
        <w:rPr>
          <w:rFonts w:ascii="Times New Roman" w:hAnsi="Times New Roman" w:eastAsia="仿宋" w:cs="Times New Roman"/>
          <w:sz w:val="18"/>
          <w:szCs w:val="20"/>
        </w:rPr>
        <w:t>Leading companies in light industry and textiles</w:t>
      </w:r>
    </w:p>
    <w:p w14:paraId="74152D8A">
      <w:pPr>
        <w:snapToGrid w:val="0"/>
        <w:ind w:left="-21" w:leftChars="-10"/>
        <w:rPr>
          <w:rFonts w:ascii="Times New Roman" w:hAnsi="Times New Roman" w:eastAsia="楷体" w:cs="Times New Roman"/>
          <w:sz w:val="20"/>
          <w:szCs w:val="21"/>
        </w:rPr>
      </w:pPr>
    </w:p>
    <w:bookmarkEnd w:id="73"/>
    <w:bookmarkEnd w:id="74"/>
    <w:bookmarkEnd w:id="75"/>
    <w:p w14:paraId="1919AD9B">
      <w:pPr>
        <w:keepNext/>
        <w:snapToGrid w:val="0"/>
        <w:spacing w:line="360" w:lineRule="exact"/>
        <w:ind w:firstLine="442" w:firstLineChars="200"/>
        <w:outlineLvl w:val="2"/>
        <w:rPr>
          <w:rFonts w:ascii="Times New Roman" w:hAnsi="Times New Roman" w:eastAsia="黑体" w:cs="Times New Roman"/>
          <w:b/>
          <w:sz w:val="22"/>
          <w:szCs w:val="24"/>
        </w:rPr>
      </w:pPr>
      <w:bookmarkStart w:id="76" w:name="_Toc163910314"/>
      <w:r>
        <w:rPr>
          <w:rFonts w:ascii="Times New Roman" w:hAnsi="Times New Roman" w:eastAsia="黑体" w:cs="Times New Roman"/>
          <w:b/>
          <w:sz w:val="22"/>
          <w:szCs w:val="24"/>
        </w:rPr>
        <w:t>(2) Development Target</w:t>
      </w:r>
      <w:bookmarkEnd w:id="76"/>
    </w:p>
    <w:p w14:paraId="3F99E669">
      <w:pPr>
        <w:snapToGrid w:val="0"/>
        <w:spacing w:line="360" w:lineRule="exact"/>
        <w:ind w:firstLine="440" w:firstLineChars="200"/>
        <w:rPr>
          <w:rFonts w:ascii="Times New Roman" w:hAnsi="Times New Roman" w:eastAsia="仿宋" w:cs="Times New Roman"/>
          <w:sz w:val="22"/>
        </w:rPr>
      </w:pPr>
      <w:r>
        <w:rPr>
          <w:rFonts w:ascii="Times New Roman" w:hAnsi="Times New Roman" w:eastAsia="仿宋" w:cs="Times New Roman"/>
          <w:sz w:val="22"/>
          <w:szCs w:val="24"/>
        </w:rPr>
        <w:t xml:space="preserve">By 2027, the light and textile industries in the province will achieve a one-trillion-yuan-output scale, fostering a series of distinctive industrial clusters in Hunan with annual revenues surpassing hundreds of billions of yuan each. Hunan will absorb labor-intensive and processing trade industries relocated from China’s coastal regions to nurture “Three Merits” benchmark </w:t>
      </w:r>
      <w:r>
        <w:rPr>
          <w:rFonts w:ascii="Times New Roman" w:hAnsi="Times New Roman" w:eastAsia="仿宋" w:cs="Times New Roman"/>
          <w:sz w:val="20"/>
          <w:szCs w:val="21"/>
        </w:rPr>
        <w:t xml:space="preserve">enterprises. It will also build </w:t>
      </w:r>
      <w:r>
        <w:rPr>
          <w:rFonts w:ascii="Times New Roman" w:hAnsi="Times New Roman" w:eastAsia="仿宋" w:cs="Times New Roman"/>
          <w:sz w:val="22"/>
          <w:szCs w:val="24"/>
        </w:rPr>
        <w:t>distinctive foreign trade industrial clusters and key destinations for gradient relocation of processing trade.</w:t>
      </w:r>
    </w:p>
    <w:p w14:paraId="60AD93B8">
      <w:pPr>
        <w:keepNext/>
        <w:snapToGrid w:val="0"/>
        <w:spacing w:line="360" w:lineRule="exact"/>
        <w:ind w:firstLine="442" w:firstLineChars="200"/>
        <w:outlineLvl w:val="2"/>
        <w:rPr>
          <w:rFonts w:ascii="Times New Roman" w:hAnsi="Times New Roman" w:eastAsia="黑体" w:cs="Times New Roman"/>
          <w:b/>
          <w:sz w:val="22"/>
          <w:szCs w:val="24"/>
        </w:rPr>
      </w:pPr>
      <w:bookmarkStart w:id="77" w:name="_Toc131156286"/>
      <w:bookmarkStart w:id="78" w:name="_Toc127869194"/>
      <w:bookmarkStart w:id="79" w:name="_Toc130837946"/>
      <w:bookmarkStart w:id="80" w:name="_Toc128033722"/>
      <w:bookmarkStart w:id="81" w:name="_Toc130837049"/>
      <w:bookmarkStart w:id="82" w:name="_Toc163910315"/>
      <w:bookmarkStart w:id="83" w:name="_Toc129010578"/>
      <w:bookmarkStart w:id="84" w:name="_Toc130669155"/>
      <w:bookmarkStart w:id="85" w:name="_Toc128041754"/>
      <w:bookmarkStart w:id="86" w:name="_Toc129701372"/>
      <w:bookmarkStart w:id="87" w:name="_Toc10606"/>
      <w:r>
        <w:rPr>
          <w:rFonts w:ascii="Times New Roman" w:hAnsi="Times New Roman" w:eastAsia="黑体" w:cs="Times New Roman"/>
          <w:b/>
          <w:sz w:val="22"/>
          <w:szCs w:val="24"/>
        </w:rPr>
        <w:t>(3) Policy Support</w:t>
      </w:r>
      <w:bookmarkEnd w:id="77"/>
      <w:bookmarkEnd w:id="78"/>
      <w:bookmarkEnd w:id="79"/>
      <w:bookmarkEnd w:id="80"/>
      <w:bookmarkEnd w:id="81"/>
      <w:bookmarkEnd w:id="82"/>
      <w:bookmarkEnd w:id="83"/>
      <w:bookmarkEnd w:id="84"/>
      <w:bookmarkEnd w:id="85"/>
      <w:bookmarkEnd w:id="86"/>
      <w:bookmarkEnd w:id="87"/>
    </w:p>
    <w:p w14:paraId="0158C4CD">
      <w:pPr>
        <w:pStyle w:val="85"/>
        <w:numPr>
          <w:ilvl w:val="0"/>
          <w:numId w:val="3"/>
        </w:numPr>
        <w:ind w:left="426" w:hanging="142" w:firstLineChars="0"/>
        <w:rPr>
          <w:i/>
          <w:iCs/>
        </w:rPr>
      </w:pPr>
      <w:r>
        <w:rPr>
          <w:i/>
          <w:iCs/>
        </w:rPr>
        <w:t>Measures for Cultivating “Three Merits” Benchmark Enterprises in Consumer Goods Industry in Hunan Province</w:t>
      </w:r>
    </w:p>
    <w:p w14:paraId="58E52F02">
      <w:pPr>
        <w:rPr>
          <w:i/>
          <w:iCs/>
        </w:rPr>
      </w:pPr>
      <w:r>
        <w:rPr>
          <w:iCs/>
        </w:rPr>
        <mc:AlternateContent>
          <mc:Choice Requires="wps">
            <w:drawing>
              <wp:anchor distT="0" distB="0" distL="114300" distR="114300" simplePos="0" relativeHeight="251664384" behindDoc="0" locked="0" layoutInCell="1" allowOverlap="1">
                <wp:simplePos x="0" y="0"/>
                <wp:positionH relativeFrom="column">
                  <wp:posOffset>160655</wp:posOffset>
                </wp:positionH>
                <wp:positionV relativeFrom="paragraph">
                  <wp:posOffset>113030</wp:posOffset>
                </wp:positionV>
                <wp:extent cx="3801110" cy="1590040"/>
                <wp:effectExtent l="6350" t="108585" r="17780" b="8255"/>
                <wp:wrapNone/>
                <wp:docPr id="9" name="矩形标注 35"/>
                <wp:cNvGraphicFramePr/>
                <a:graphic xmlns:a="http://schemas.openxmlformats.org/drawingml/2006/main">
                  <a:graphicData uri="http://schemas.microsoft.com/office/word/2010/wordprocessingShape">
                    <wps:wsp>
                      <wps:cNvSpPr/>
                      <wps:spPr>
                        <a:xfrm>
                          <a:off x="0" y="0"/>
                          <a:ext cx="3801110" cy="1590040"/>
                        </a:xfrm>
                        <a:prstGeom prst="wedgeRectCallout">
                          <a:avLst>
                            <a:gd name="adj1" fmla="val -41856"/>
                            <a:gd name="adj2" fmla="val -56181"/>
                          </a:avLst>
                        </a:prstGeom>
                        <a:solidFill>
                          <a:srgbClr val="E2EFD9"/>
                        </a:solidFill>
                        <a:ln w="12700" cap="flat" cmpd="sng">
                          <a:solidFill>
                            <a:srgbClr val="A8D08D"/>
                          </a:solidFill>
                          <a:prstDash val="solid"/>
                          <a:miter/>
                          <a:headEnd type="none" w="med" len="med"/>
                          <a:tailEnd type="none" w="med" len="med"/>
                        </a:ln>
                      </wps:spPr>
                      <wps:txbx>
                        <w:txbxContent>
                          <w:p w14:paraId="4EF5DAB4">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7C1F9B8A">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Strengthened Policy Guidance. </w:t>
                            </w:r>
                            <w:r>
                              <w:rPr>
                                <w:rFonts w:ascii="Times New Roman" w:hAnsi="Times New Roman" w:cs="Times New Roman"/>
                                <w:color w:val="3F3F3F" w:themeColor="text1" w:themeTint="BF"/>
                                <w:sz w:val="18"/>
                                <w:szCs w:val="18"/>
                              </w:rPr>
                              <w:t>Eligible “Three Merits” benchmark enterprises in the consumer goods industry for provincial department administered special funds can apply for prioritized support.</w:t>
                            </w:r>
                          </w:p>
                          <w:p w14:paraId="41A67025">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Enhanced Targeted Services. </w:t>
                            </w:r>
                            <w:r>
                              <w:rPr>
                                <w:rFonts w:ascii="Times New Roman" w:hAnsi="Times New Roman" w:cs="Times New Roman"/>
                                <w:color w:val="3F3F3F" w:themeColor="text1" w:themeTint="BF"/>
                                <w:sz w:val="18"/>
                                <w:szCs w:val="18"/>
                              </w:rPr>
                              <w:t>Large-scale matchmaking events will be held to promptly address various needs of consumer goods industry enterprises in Hunan Province. We will focus on matching service providers with specific enterprise needs nationwide, establishing dedicated platforms for service providers, and implementing tailored strategies to help benchmark enterprises address prominent development issues, achieving integration among demand, service, and supply sides.</w:t>
                            </w:r>
                          </w:p>
                        </w:txbxContent>
                      </wps:txbx>
                      <wps:bodyPr anchor="ctr" anchorCtr="0" upright="1"/>
                    </wps:wsp>
                  </a:graphicData>
                </a:graphic>
              </wp:anchor>
            </w:drawing>
          </mc:Choice>
          <mc:Fallback>
            <w:pict>
              <v:shape id="矩形标注 35" o:spid="_x0000_s1026" o:spt="61" type="#_x0000_t61" style="position:absolute;left:0pt;margin-left:12.65pt;margin-top:8.9pt;height:125.2pt;width:299.3pt;z-index:251664384;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" adj="1759,-1335">
                <v:fill on="t" focussize="0,0"/>
                <v:stroke weight="1pt" color="#A8D08D" joinstyle="miter"/>
                <v:imagedata o:title=""/>
                <o:lock v:ext="edit" aspectratio="f"/>
                <v:textbox>
                  <w:txbxContent>
                    <w:p w14:paraId="4EF5DAB4">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7C1F9B8A">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Strengthened Policy Guidance. </w:t>
                      </w:r>
                      <w:r>
                        <w:rPr>
                          <w:rFonts w:ascii="Times New Roman" w:hAnsi="Times New Roman" w:cs="Times New Roman"/>
                          <w:color w:val="3F3F3F" w:themeColor="text1" w:themeTint="BF"/>
                          <w:sz w:val="18"/>
                          <w:szCs w:val="18"/>
                        </w:rPr>
                        <w:t>Eligible “Three Merits” benchmark enterprises in the consumer goods industry for provincial department administered special funds can apply for prioritized support.</w:t>
                      </w:r>
                    </w:p>
                    <w:p w14:paraId="41A67025">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Enhanced Targeted Services. </w:t>
                      </w:r>
                      <w:r>
                        <w:rPr>
                          <w:rFonts w:ascii="Times New Roman" w:hAnsi="Times New Roman" w:cs="Times New Roman"/>
                          <w:color w:val="3F3F3F" w:themeColor="text1" w:themeTint="BF"/>
                          <w:sz w:val="18"/>
                          <w:szCs w:val="18"/>
                        </w:rPr>
                        <w:t>Large-scale matchmaking events will be held to promptly address various needs of consumer goods industry enterprises in Hunan Province. We will focus on matching service providers with specific enterprise needs nationwide, establishing dedicated platforms for service providers, and implementing tailored strategies to help benchmark enterprises address prominent development issues, achieving integration among demand, service, and supply sides.</w:t>
                      </w:r>
                    </w:p>
                  </w:txbxContent>
                </v:textbox>
              </v:shape>
            </w:pict>
          </mc:Fallback>
        </mc:AlternateContent>
      </w:r>
    </w:p>
    <w:p w14:paraId="3289CC51">
      <w:pPr>
        <w:rPr>
          <w:i/>
          <w:iCs/>
        </w:rPr>
      </w:pPr>
    </w:p>
    <w:p w14:paraId="49FA3CE6">
      <w:pPr>
        <w:rPr>
          <w:i/>
          <w:iCs/>
        </w:rPr>
      </w:pPr>
    </w:p>
    <w:p w14:paraId="0AF9EE3E">
      <w:pPr>
        <w:rPr>
          <w:i/>
          <w:iCs/>
        </w:rPr>
      </w:pPr>
    </w:p>
    <w:p w14:paraId="2863D7F8">
      <w:pPr>
        <w:rPr>
          <w:i/>
          <w:iCs/>
        </w:rPr>
      </w:pPr>
    </w:p>
    <w:p w14:paraId="39F82F05">
      <w:pPr>
        <w:rPr>
          <w:i/>
          <w:iCs/>
        </w:rPr>
      </w:pPr>
    </w:p>
    <w:p w14:paraId="32E0C6B5">
      <w:pPr>
        <w:rPr>
          <w:i/>
          <w:iCs/>
        </w:rPr>
      </w:pPr>
    </w:p>
    <w:p w14:paraId="0F62C65D">
      <w:pPr>
        <w:pStyle w:val="85"/>
        <w:numPr>
          <w:ilvl w:val="0"/>
          <w:numId w:val="3"/>
        </w:numPr>
        <w:ind w:left="426" w:hanging="142" w:firstLineChars="0"/>
        <w:rPr>
          <w:i/>
          <w:iCs/>
        </w:rPr>
      </w:pPr>
      <w:bookmarkStart w:id="88" w:name="_Toc130669156"/>
      <w:bookmarkStart w:id="89" w:name="_Toc131156287"/>
      <w:bookmarkStart w:id="90" w:name="_Toc129701373"/>
      <w:bookmarkStart w:id="91" w:name="_Toc130837947"/>
      <w:bookmarkStart w:id="92" w:name="_Toc32148"/>
      <w:bookmarkStart w:id="93" w:name="_Toc130837050"/>
      <w:r>
        <w:rPr>
          <w:i/>
          <w:iCs/>
        </w:rPr>
        <w:t>Policy on Supporting the Transformation and Upgrading of Fireworks and Firecracker Industry for High-Quality Development</w:t>
      </w:r>
    </w:p>
    <w:p w14:paraId="7F69CD18">
      <w:pPr>
        <w:pStyle w:val="85"/>
        <w:numPr>
          <w:ilvl w:val="0"/>
          <w:numId w:val="3"/>
        </w:numPr>
        <w:ind w:left="426" w:hanging="142" w:firstLineChars="0"/>
        <w:rPr>
          <w:i/>
          <w:iCs/>
        </w:rPr>
      </w:pPr>
      <w:r>
        <w:rPr>
          <w:i/>
          <w:iCs/>
        </w:rPr>
        <w:t>Implementation Guidelines for Promoting the High-Quality Development of Textile and Garment Industry</w:t>
      </w:r>
    </w:p>
    <w:p w14:paraId="389F1057">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81792" behindDoc="0" locked="0" layoutInCell="1" allowOverlap="1">
                <wp:simplePos x="0" y="0"/>
                <wp:positionH relativeFrom="margin">
                  <wp:posOffset>3028950</wp:posOffset>
                </wp:positionH>
                <wp:positionV relativeFrom="margin">
                  <wp:posOffset>86360</wp:posOffset>
                </wp:positionV>
                <wp:extent cx="914400" cy="962025"/>
                <wp:effectExtent l="6350" t="6350" r="8890" b="6985"/>
                <wp:wrapSquare wrapText="bothSides"/>
                <wp:docPr id="43" name="文本框 10"/>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447DC3F8">
                            <w:pPr>
                              <w:pStyle w:val="92"/>
                              <w:adjustRightInd w:val="0"/>
                            </w:pPr>
                            <w:r>
                              <w:drawing>
                                <wp:inline distT="0" distB="0" distL="0" distR="0">
                                  <wp:extent cx="722630" cy="722630"/>
                                  <wp:effectExtent l="0" t="0" r="1270" b="1270"/>
                                  <wp:docPr id="1182733222" name="图片 118273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22" name="图片 1182733222"/>
                                          <pic:cNvPicPr>
                                            <a:picLocks noChangeAspect="1"/>
                                          </pic:cNvPicPr>
                                        </pic:nvPicPr>
                                        <pic:blipFill>
                                          <a:blip r:embed="rId51">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75E171B0">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2E6491F6">
                            <w:pPr>
                              <w:pStyle w:val="92"/>
                              <w:adjustRightInd w:val="0"/>
                            </w:pPr>
                          </w:p>
                        </w:txbxContent>
                      </wps:txbx>
                      <wps:bodyPr upright="1"/>
                    </wps:wsp>
                  </a:graphicData>
                </a:graphic>
              </wp:anchor>
            </w:drawing>
          </mc:Choice>
          <mc:Fallback>
            <w:pict>
              <v:shape id="文本框 10" o:spid="_x0000_s1026" o:spt="202" type="#_x0000_t202" style="position:absolute;left:0pt;margin-left:238.5pt;margin-top:6.8pt;height:75.75pt;width:72pt;mso-position-horizontal-relative:margin;mso-position-vertical-relative:margin;mso-wrap-distance-bottom:0pt;mso-wrap-distance-left:9pt;mso-wrap-distance-right:9pt;mso-wrap-distance-top:0pt;z-index:251681792;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">
                <v:fill on="f" focussize="0,0"/>
                <v:stroke weight="1pt" color="#A8D08D" joinstyle="miter"/>
                <v:imagedata o:title=""/>
                <o:lock v:ext="edit" aspectratio="f"/>
                <v:textbox>
                  <w:txbxContent>
                    <w:p w14:paraId="447DC3F8">
                      <w:pPr>
                        <w:pStyle w:val="92"/>
                        <w:adjustRightInd w:val="0"/>
                      </w:pPr>
                      <w:r>
                        <w:drawing>
                          <wp:inline distT="0" distB="0" distL="0" distR="0">
                            <wp:extent cx="722630" cy="722630"/>
                            <wp:effectExtent l="0" t="0" r="1270" b="1270"/>
                            <wp:docPr id="1182733222" name="图片 118273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22" name="图片 1182733222"/>
                                    <pic:cNvPicPr>
                                      <a:picLocks noChangeAspect="1"/>
                                    </pic:cNvPicPr>
                                  </pic:nvPicPr>
                                  <pic:blipFill>
                                    <a:blip r:embed="rId51">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75E171B0">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2E6491F6">
                      <w:pPr>
                        <w:pStyle w:val="92"/>
                        <w:adjustRightInd w:val="0"/>
                      </w:pPr>
                    </w:p>
                  </w:txbxContent>
                </v:textbox>
                <w10:wrap type="square"/>
              </v:shape>
            </w:pict>
          </mc:Fallback>
        </mc:AlternateContent>
      </w:r>
      <w:r>
        <w:rPr>
          <w:i/>
          <w:iCs/>
        </w:rPr>
        <w:t>Measures for Cultivating Key Brands in Textile and Garment Industry in Hunan Province</w:t>
      </w:r>
    </w:p>
    <w:p w14:paraId="664521BC">
      <w:pPr>
        <w:pStyle w:val="85"/>
        <w:numPr>
          <w:ilvl w:val="0"/>
          <w:numId w:val="3"/>
        </w:numPr>
        <w:ind w:left="426" w:hanging="142" w:firstLineChars="0"/>
        <w:rPr>
          <w:i/>
          <w:iCs/>
        </w:rPr>
      </w:pPr>
      <w:r>
        <w:rPr>
          <w:i/>
          <w:iCs/>
        </w:rPr>
        <w:t>Work Plan for Promoting the High-quality Development of Home Furnishing Industry in Hunan Province</w:t>
      </w:r>
    </w:p>
    <w:p w14:paraId="2A141992">
      <w:pPr>
        <w:pStyle w:val="85"/>
        <w:numPr>
          <w:ilvl w:val="0"/>
          <w:numId w:val="3"/>
        </w:numPr>
        <w:ind w:left="426" w:hanging="142" w:firstLineChars="0"/>
        <w:rPr>
          <w:i/>
          <w:iCs/>
        </w:rPr>
      </w:pPr>
      <w:r>
        <w:rPr>
          <w:i/>
          <w:iCs/>
        </w:rPr>
        <w:t>14th Five-Year Plan for the Development of Industries in Xiangxi (Western Hunan)</w:t>
      </w:r>
    </w:p>
    <w:p w14:paraId="1490EEA1">
      <w:pPr>
        <w:adjustRightInd w:val="0"/>
        <w:snapToGrid w:val="0"/>
        <w:spacing w:beforeLines="50" w:afterLines="20"/>
        <w:jc w:val="center"/>
        <w:rPr>
          <w:rFonts w:ascii="Times New Roman" w:hAnsi="Times New Roman" w:eastAsia="仿宋" w:cs="Times New Roman"/>
          <w:sz w:val="18"/>
          <w:szCs w:val="16"/>
        </w:rPr>
      </w:pPr>
      <w:r>
        <w:rPr>
          <w:rFonts w:ascii="Times New Roman" w:hAnsi="Times New Roman" w:eastAsia="仿宋" w:cs="Times New Roman"/>
          <w:sz w:val="18"/>
          <w:szCs w:val="20"/>
        </w:rPr>
        <w:t>Funds supporting the light and textile industry</w:t>
      </w:r>
    </w:p>
    <w:tbl>
      <w:tblPr>
        <w:tblStyle w:val="44"/>
        <w:tblW w:w="5000" w:type="pct"/>
        <w:jc w:val="center"/>
        <w:tblBorders>
          <w:top w:val="single" w:color="9BBB59" w:sz="4" w:space="0"/>
          <w:left w:val="none" w:color="auto" w:sz="0" w:space="0"/>
          <w:bottom w:val="single" w:color="9BBB59"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1"/>
        <w:gridCol w:w="1412"/>
        <w:gridCol w:w="1458"/>
        <w:gridCol w:w="563"/>
        <w:gridCol w:w="843"/>
        <w:gridCol w:w="1770"/>
      </w:tblGrid>
      <w:tr w14:paraId="35A374F1">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1" w:hRule="atLeast"/>
          <w:tblHeader/>
          <w:jc w:val="center"/>
        </w:trPr>
        <w:tc>
          <w:tcPr>
            <w:tcW w:w="311" w:type="pct"/>
            <w:tcBorders>
              <w:bottom w:val="single" w:color="9BBB59" w:sz="4" w:space="0"/>
            </w:tcBorders>
            <w:vAlign w:val="center"/>
          </w:tcPr>
          <w:p w14:paraId="3ADF2C47">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No.</w:t>
            </w:r>
          </w:p>
        </w:tc>
        <w:tc>
          <w:tcPr>
            <w:tcW w:w="1095" w:type="pct"/>
            <w:tcBorders>
              <w:bottom w:val="single" w:color="9BBB59" w:sz="4" w:space="0"/>
            </w:tcBorders>
            <w:vAlign w:val="center"/>
          </w:tcPr>
          <w:p w14:paraId="44A35FFC">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Fund</w:t>
            </w:r>
          </w:p>
        </w:tc>
        <w:tc>
          <w:tcPr>
            <w:tcW w:w="1131" w:type="pct"/>
            <w:tcBorders>
              <w:bottom w:val="single" w:color="9BBB59" w:sz="4" w:space="0"/>
            </w:tcBorders>
            <w:vAlign w:val="center"/>
          </w:tcPr>
          <w:p w14:paraId="5BCCD6D5">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Sector</w:t>
            </w:r>
          </w:p>
        </w:tc>
        <w:tc>
          <w:tcPr>
            <w:tcW w:w="437" w:type="pct"/>
            <w:tcBorders>
              <w:bottom w:val="single" w:color="9BBB59" w:sz="4" w:space="0"/>
            </w:tcBorders>
            <w:vAlign w:val="center"/>
          </w:tcPr>
          <w:p w14:paraId="3A665F80">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Est. Time</w:t>
            </w:r>
          </w:p>
        </w:tc>
        <w:tc>
          <w:tcPr>
            <w:tcW w:w="654" w:type="pct"/>
            <w:tcBorders>
              <w:bottom w:val="single" w:color="9BBB59" w:sz="4" w:space="0"/>
            </w:tcBorders>
            <w:vAlign w:val="center"/>
          </w:tcPr>
          <w:p w14:paraId="594ABC2C">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Scale (RMB)</w:t>
            </w:r>
          </w:p>
        </w:tc>
        <w:tc>
          <w:tcPr>
            <w:tcW w:w="1372" w:type="pct"/>
            <w:tcBorders>
              <w:bottom w:val="single" w:color="9BBB59" w:sz="4" w:space="0"/>
            </w:tcBorders>
            <w:vAlign w:val="center"/>
          </w:tcPr>
          <w:p w14:paraId="7314BFDC">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Remarks</w:t>
            </w:r>
          </w:p>
        </w:tc>
      </w:tr>
      <w:tr w14:paraId="770A457A">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2" w:hRule="atLeast"/>
          <w:jc w:val="center"/>
        </w:trPr>
        <w:tc>
          <w:tcPr>
            <w:tcW w:w="311" w:type="pct"/>
            <w:shd w:val="clear" w:color="auto" w:fill="EAF1DD"/>
            <w:vAlign w:val="center"/>
          </w:tcPr>
          <w:p w14:paraId="2186657B">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1</w:t>
            </w:r>
          </w:p>
        </w:tc>
        <w:tc>
          <w:tcPr>
            <w:tcW w:w="1095" w:type="pct"/>
            <w:shd w:val="clear" w:color="auto" w:fill="EAF1DD"/>
            <w:vAlign w:val="center"/>
          </w:tcPr>
          <w:p w14:paraId="0E0879A1">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Chasing Jingjin Fund</w:t>
            </w:r>
          </w:p>
        </w:tc>
        <w:tc>
          <w:tcPr>
            <w:tcW w:w="1131" w:type="pct"/>
            <w:shd w:val="clear" w:color="auto" w:fill="EAF1DD"/>
            <w:vAlign w:val="center"/>
          </w:tcPr>
          <w:p w14:paraId="6582DAF5">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Industries such as mass consumption (including cultural creativity, food distribution, etc.).</w:t>
            </w:r>
          </w:p>
        </w:tc>
        <w:tc>
          <w:tcPr>
            <w:tcW w:w="437" w:type="pct"/>
            <w:shd w:val="clear" w:color="auto" w:fill="EAF1DD"/>
            <w:vAlign w:val="center"/>
          </w:tcPr>
          <w:p w14:paraId="4E64E32B">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2019</w:t>
            </w:r>
          </w:p>
        </w:tc>
        <w:tc>
          <w:tcPr>
            <w:tcW w:w="654" w:type="pct"/>
            <w:shd w:val="clear" w:color="auto" w:fill="EAF1DD"/>
            <w:vAlign w:val="center"/>
          </w:tcPr>
          <w:p w14:paraId="75715244">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5 billion expected</w:t>
            </w:r>
          </w:p>
        </w:tc>
        <w:tc>
          <w:tcPr>
            <w:tcW w:w="1372" w:type="pct"/>
            <w:shd w:val="clear" w:color="auto" w:fill="EAF1DD"/>
            <w:vAlign w:val="center"/>
          </w:tcPr>
          <w:p w14:paraId="74E787E7">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Managed by</w:t>
            </w:r>
          </w:p>
          <w:p w14:paraId="176C3FAA">
            <w:pPr>
              <w:widowControl/>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Hunan Chasing Fund Management</w:t>
            </w:r>
          </w:p>
        </w:tc>
      </w:tr>
      <w:tr w14:paraId="45E9618E">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53" w:hRule="atLeast"/>
          <w:jc w:val="center"/>
        </w:trPr>
        <w:tc>
          <w:tcPr>
            <w:tcW w:w="311" w:type="pct"/>
            <w:vAlign w:val="center"/>
          </w:tcPr>
          <w:p w14:paraId="040F4174">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2</w:t>
            </w:r>
          </w:p>
        </w:tc>
        <w:tc>
          <w:tcPr>
            <w:tcW w:w="1095" w:type="pct"/>
            <w:vAlign w:val="center"/>
          </w:tcPr>
          <w:p w14:paraId="165F89B8">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Zhuzhou Advanced Industry Cluster Development Fund of Funds (FOF)</w:t>
            </w:r>
          </w:p>
        </w:tc>
        <w:tc>
          <w:tcPr>
            <w:tcW w:w="1131" w:type="pct"/>
            <w:vAlign w:val="center"/>
          </w:tcPr>
          <w:p w14:paraId="6AC67540">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13 iconic industrial chains such as apparel (textile), ceramics and new functional glass.</w:t>
            </w:r>
          </w:p>
        </w:tc>
        <w:tc>
          <w:tcPr>
            <w:tcW w:w="437" w:type="pct"/>
            <w:vAlign w:val="center"/>
          </w:tcPr>
          <w:p w14:paraId="0A03BC09">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2022</w:t>
            </w:r>
          </w:p>
        </w:tc>
        <w:tc>
          <w:tcPr>
            <w:tcW w:w="654" w:type="pct"/>
            <w:vAlign w:val="center"/>
          </w:tcPr>
          <w:p w14:paraId="53184212">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Phase Ⅰ: 5 billion</w:t>
            </w:r>
          </w:p>
        </w:tc>
        <w:tc>
          <w:tcPr>
            <w:tcW w:w="1372" w:type="pct"/>
            <w:vAlign w:val="center"/>
          </w:tcPr>
          <w:p w14:paraId="58BBE0DF">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Led by Zhuzhou Municipal People’s Government, with Hunan Chasing Financial Holdings and Zhuzhou state-owned enterprises as major sponsors</w:t>
            </w:r>
          </w:p>
        </w:tc>
      </w:tr>
      <w:tr w14:paraId="5A943100">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2" w:hRule="atLeast"/>
          <w:jc w:val="center"/>
        </w:trPr>
        <w:tc>
          <w:tcPr>
            <w:tcW w:w="311" w:type="pct"/>
            <w:shd w:val="clear" w:color="auto" w:fill="EAF1DD"/>
            <w:vAlign w:val="center"/>
          </w:tcPr>
          <w:p w14:paraId="3BB797D7">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3</w:t>
            </w:r>
          </w:p>
        </w:tc>
        <w:tc>
          <w:tcPr>
            <w:tcW w:w="1095" w:type="pct"/>
            <w:shd w:val="clear" w:color="auto" w:fill="EAF1DD"/>
            <w:vAlign w:val="center"/>
          </w:tcPr>
          <w:p w14:paraId="07C54460">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(Liuyang) Firecracker Industry Cluster Development Fund</w:t>
            </w:r>
          </w:p>
        </w:tc>
        <w:tc>
          <w:tcPr>
            <w:tcW w:w="1131" w:type="pct"/>
            <w:shd w:val="clear" w:color="auto" w:fill="EAF1DD"/>
            <w:vAlign w:val="center"/>
          </w:tcPr>
          <w:p w14:paraId="28564FF5">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Fireworks industry.</w:t>
            </w:r>
          </w:p>
        </w:tc>
        <w:tc>
          <w:tcPr>
            <w:tcW w:w="437" w:type="pct"/>
            <w:shd w:val="clear" w:color="auto" w:fill="EAF1DD"/>
            <w:vAlign w:val="center"/>
          </w:tcPr>
          <w:p w14:paraId="2DB529B9">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2016</w:t>
            </w:r>
          </w:p>
        </w:tc>
        <w:tc>
          <w:tcPr>
            <w:tcW w:w="654" w:type="pct"/>
            <w:shd w:val="clear" w:color="auto" w:fill="EAF1DD"/>
            <w:vAlign w:val="center"/>
          </w:tcPr>
          <w:p w14:paraId="085BB421">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w:t>
            </w:r>
          </w:p>
        </w:tc>
        <w:tc>
          <w:tcPr>
            <w:tcW w:w="1372" w:type="pct"/>
            <w:shd w:val="clear" w:color="auto" w:fill="EAF1DD"/>
            <w:vAlign w:val="center"/>
          </w:tcPr>
          <w:p w14:paraId="7DCBA1A1">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Managed by Liuyang City Firecracker and Fireworks Industry Development Center</w:t>
            </w:r>
          </w:p>
        </w:tc>
      </w:tr>
      <w:tr w14:paraId="71402DFA">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1" w:hRule="atLeast"/>
          <w:jc w:val="center"/>
        </w:trPr>
        <w:tc>
          <w:tcPr>
            <w:tcW w:w="311" w:type="pct"/>
            <w:vAlign w:val="center"/>
          </w:tcPr>
          <w:p w14:paraId="43B448E8">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4</w:t>
            </w:r>
          </w:p>
        </w:tc>
        <w:tc>
          <w:tcPr>
            <w:tcW w:w="1095" w:type="pct"/>
            <w:vAlign w:val="center"/>
          </w:tcPr>
          <w:p w14:paraId="48B32E83">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Huarong County Industrial Guidance Investment Fund</w:t>
            </w:r>
          </w:p>
        </w:tc>
        <w:tc>
          <w:tcPr>
            <w:tcW w:w="1131" w:type="pct"/>
            <w:vAlign w:val="center"/>
          </w:tcPr>
          <w:p w14:paraId="5673D672">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Textile and garment, food processing and other key industries</w:t>
            </w:r>
          </w:p>
        </w:tc>
        <w:tc>
          <w:tcPr>
            <w:tcW w:w="437" w:type="pct"/>
            <w:vAlign w:val="center"/>
          </w:tcPr>
          <w:p w14:paraId="38BFE46A">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2017</w:t>
            </w:r>
          </w:p>
        </w:tc>
        <w:tc>
          <w:tcPr>
            <w:tcW w:w="654" w:type="pct"/>
            <w:vAlign w:val="center"/>
          </w:tcPr>
          <w:p w14:paraId="30C9CCF1">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Phase Ⅰ: 200 million</w:t>
            </w:r>
          </w:p>
        </w:tc>
        <w:tc>
          <w:tcPr>
            <w:tcW w:w="1372" w:type="pct"/>
            <w:vAlign w:val="center"/>
          </w:tcPr>
          <w:p w14:paraId="6939A3DC">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p>
        </w:tc>
      </w:tr>
      <w:bookmarkEnd w:id="88"/>
      <w:bookmarkEnd w:id="89"/>
      <w:bookmarkEnd w:id="90"/>
      <w:bookmarkEnd w:id="91"/>
      <w:bookmarkEnd w:id="92"/>
      <w:bookmarkEnd w:id="93"/>
    </w:tbl>
    <w:p w14:paraId="257CA9B0">
      <w:pPr>
        <w:keepNext/>
        <w:snapToGrid w:val="0"/>
        <w:spacing w:line="360" w:lineRule="exact"/>
        <w:ind w:firstLine="442" w:firstLineChars="200"/>
        <w:outlineLvl w:val="2"/>
        <w:rPr>
          <w:rFonts w:ascii="Times New Roman" w:hAnsi="Times New Roman" w:eastAsia="黑体" w:cs="Times New Roman"/>
          <w:b/>
          <w:sz w:val="22"/>
          <w:szCs w:val="24"/>
        </w:rPr>
      </w:pPr>
      <w:bookmarkStart w:id="94" w:name="_Toc163910316"/>
      <w:r>
        <w:rPr>
          <w:rFonts w:ascii="Times New Roman" w:hAnsi="Times New Roman" w:eastAsia="黑体" w:cs="Times New Roman"/>
          <w:b/>
          <w:sz w:val="22"/>
          <w:szCs w:val="24"/>
        </w:rPr>
        <w:t>(4) Investment O</w:t>
      </w:r>
      <w:r>
        <w:rPr>
          <w:rFonts w:hint="eastAsia" w:ascii="Times New Roman" w:hAnsi="Times New Roman" w:eastAsia="黑体" w:cs="Times New Roman"/>
          <w:b/>
          <w:sz w:val="22"/>
          <w:szCs w:val="24"/>
        </w:rPr>
        <w:t>rientation</w:t>
      </w:r>
      <w:r>
        <w:rPr>
          <w:rFonts w:ascii="Times New Roman" w:hAnsi="Times New Roman" w:eastAsia="黑体" w:cs="Times New Roman"/>
          <w:b/>
          <w:sz w:val="22"/>
          <w:szCs w:val="24"/>
        </w:rPr>
        <w:t xml:space="preserve"> and Industrial Layout</w:t>
      </w:r>
      <w:bookmarkEnd w:id="94"/>
    </w:p>
    <w:p w14:paraId="1A9D8574">
      <w:pPr>
        <w:snapToGrid w:val="0"/>
        <w:spacing w:line="360" w:lineRule="exact"/>
        <w:ind w:firstLine="442" w:firstLineChars="200"/>
        <w:rPr>
          <w:rFonts w:ascii="Times New Roman" w:hAnsi="Times New Roman" w:eastAsia="黑体" w:cs="Times New Roman"/>
          <w:bCs/>
          <w:sz w:val="22"/>
          <w:szCs w:val="24"/>
        </w:rPr>
      </w:pPr>
      <w:bookmarkStart w:id="95" w:name="_Hlk163831778"/>
      <w:r>
        <w:rPr>
          <w:rFonts w:ascii="Times New Roman" w:hAnsi="Times New Roman" w:eastAsia="黑体" w:cs="Times New Roman"/>
          <w:b/>
          <w:sz w:val="22"/>
          <w:szCs w:val="24"/>
        </w:rPr>
        <w:t>Tobacco</w:t>
      </w:r>
      <w:bookmarkEnd w:id="95"/>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cigarette production bases such as Changsha, Changde, Chenzhou, and Lingling in Yongzhou, and surrounding areas, we aim to attract enterprises along the industrial chain from cultivation, production, and re-drying to cigarette product research and development.</w:t>
      </w:r>
    </w:p>
    <w:p w14:paraId="06874596">
      <w:pPr>
        <w:snapToGrid w:val="0"/>
        <w:spacing w:line="360" w:lineRule="exact"/>
        <w:ind w:firstLine="442" w:firstLineChars="200"/>
        <w:rPr>
          <w:rFonts w:ascii="Times New Roman" w:hAnsi="Times New Roman" w:eastAsia="黑体" w:cs="Times New Roman"/>
          <w:bCs/>
          <w:sz w:val="22"/>
          <w:szCs w:val="24"/>
        </w:rPr>
      </w:pPr>
      <w:bookmarkStart w:id="96" w:name="_Hlk163831784"/>
      <w:r>
        <w:rPr>
          <w:rFonts w:ascii="Times New Roman" w:hAnsi="Times New Roman" w:eastAsia="黑体" w:cs="Times New Roman"/>
          <w:b/>
          <w:sz w:val="22"/>
          <w:szCs w:val="24"/>
        </w:rPr>
        <w:t>Fireworks</w:t>
      </w:r>
      <w:bookmarkEnd w:id="96"/>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Liuyang City, Liling City, and surrounding areas, we aim to attract enterprises engaged in the production, operation, exhibition, transportation, machinery and equipment manufacturing, ignition and detonation, as well as the supply of raw and auxiliary materials, cultural creativity, etc., in the fireworks and firecrackers industry.</w:t>
      </w:r>
    </w:p>
    <w:p w14:paraId="2583DE4E">
      <w:pPr>
        <w:snapToGrid w:val="0"/>
        <w:spacing w:line="360" w:lineRule="exact"/>
        <w:ind w:firstLine="442" w:firstLineChars="200"/>
        <w:rPr>
          <w:rFonts w:ascii="Times New Roman" w:hAnsi="Times New Roman" w:eastAsia="黑体" w:cs="Times New Roman"/>
          <w:bCs/>
          <w:sz w:val="22"/>
          <w:szCs w:val="24"/>
        </w:rPr>
      </w:pPr>
      <w:bookmarkStart w:id="97" w:name="_Hlk163831792"/>
      <w:r>
        <w:rPr>
          <w:rFonts w:ascii="Times New Roman" w:hAnsi="Times New Roman" w:eastAsia="黑体" w:cs="Times New Roman"/>
          <w:b/>
          <w:sz w:val="22"/>
          <w:szCs w:val="24"/>
        </w:rPr>
        <w:t>Textile and clothing</w:t>
      </w:r>
      <w:bookmarkEnd w:id="97"/>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Chaling ETDZ, Huarong HTZ, and Lixian HTZ, we aim to attract enterprises specializing in professional clothing, cotton and linen textiles, home textiles, special protective textiles, industrial textiles for marine fisheries, building decoration, wax dyeing, brocade weaving, silver jewelry, etc.</w:t>
      </w:r>
    </w:p>
    <w:p w14:paraId="00F10AEE">
      <w:pPr>
        <w:snapToGrid w:val="0"/>
        <w:spacing w:line="360" w:lineRule="exact"/>
        <w:ind w:firstLine="442" w:firstLineChars="200"/>
        <w:rPr>
          <w:rFonts w:ascii="Times New Roman" w:hAnsi="Times New Roman" w:eastAsia="黑体" w:cs="Times New Roman"/>
          <w:bCs/>
          <w:sz w:val="22"/>
          <w:szCs w:val="24"/>
        </w:rPr>
      </w:pPr>
      <w:bookmarkStart w:id="98" w:name="_Hlk163831797"/>
      <w:r>
        <w:rPr>
          <w:rFonts w:ascii="Times New Roman" w:hAnsi="Times New Roman" w:eastAsia="黑体" w:cs="Times New Roman"/>
          <w:b/>
          <w:sz w:val="22"/>
          <w:szCs w:val="24"/>
        </w:rPr>
        <w:t>Houseware</w:t>
      </w:r>
      <w:bookmarkEnd w:id="98"/>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Liling ETDZ, Xinhua HTZ, and Xupu IDZ, with a focus on the daily ceramics industry, we aim to attract enterprises specializing in mid-to-high-end daily ceramics, underglaze colored ceramics, high-end stoneware &amp; porcelain, and craft ceramics. Based on Shaodong ETDZ, Lanshan ETDZ, and Qiyang HTZ, with a focus on the leather goods, luggage, and bags industry, we aim to attract enterprises specializing in high-end shoe upper leather, leather </w:t>
      </w:r>
    </w:p>
    <w:p w14:paraId="14BE8ECF">
      <w:pPr>
        <w:snapToGrid w:val="0"/>
        <w:spacing w:line="360" w:lineRule="exact"/>
        <w:ind w:firstLine="440" w:firstLineChars="200"/>
        <w:rPr>
          <w:rFonts w:ascii="Times New Roman" w:hAnsi="Times New Roman" w:eastAsia="黑体" w:cs="Times New Roman"/>
          <w:bCs/>
          <w:sz w:val="22"/>
          <w:szCs w:val="24"/>
        </w:rPr>
      </w:pPr>
    </w:p>
    <w:p w14:paraId="50506B23">
      <w:pPr>
        <w:snapToGrid w:val="0"/>
        <w:spacing w:line="360" w:lineRule="exact"/>
        <w:ind w:firstLine="440" w:firstLineChars="200"/>
        <w:rPr>
          <w:rFonts w:ascii="Times New Roman" w:hAnsi="Times New Roman" w:eastAsia="黑体" w:cs="Times New Roman"/>
          <w:bCs/>
          <w:sz w:val="22"/>
          <w:szCs w:val="24"/>
        </w:rPr>
      </w:pPr>
    </w:p>
    <w:p w14:paraId="77655A8D">
      <w:pPr>
        <w:snapToGrid w:val="0"/>
        <w:spacing w:line="360" w:lineRule="exact"/>
        <w:ind w:firstLine="440" w:firstLineChars="200"/>
        <w:rPr>
          <w:rFonts w:ascii="Times New Roman" w:hAnsi="Times New Roman" w:eastAsia="黑体" w:cs="Times New Roman"/>
          <w:bCs/>
          <w:sz w:val="22"/>
          <w:szCs w:val="24"/>
        </w:rPr>
      </w:pPr>
    </w:p>
    <w:p w14:paraId="4AF1E2C3">
      <w:pPr>
        <w:snapToGrid w:val="0"/>
        <w:spacing w:line="360" w:lineRule="exact"/>
        <w:ind w:firstLine="440" w:firstLineChars="200"/>
        <w:rPr>
          <w:rFonts w:ascii="Times New Roman" w:hAnsi="Times New Roman" w:eastAsia="黑体" w:cs="Times New Roman"/>
          <w:bCs/>
          <w:sz w:val="22"/>
          <w:szCs w:val="24"/>
        </w:rPr>
      </w:pPr>
    </w:p>
    <w:p w14:paraId="39848292">
      <w:pPr>
        <w:snapToGrid w:val="0"/>
        <w:spacing w:line="360" w:lineRule="exact"/>
        <w:ind w:firstLine="440" w:firstLineChars="200"/>
        <w:rPr>
          <w:rFonts w:ascii="Times New Roman" w:hAnsi="Times New Roman" w:eastAsia="黑体" w:cs="Times New Roman"/>
          <w:bCs/>
          <w:sz w:val="22"/>
          <w:szCs w:val="24"/>
        </w:rPr>
      </w:pPr>
      <w:r>
        <w:rPr>
          <w:rFonts w:hint="eastAsia" w:ascii="Times New Roman" w:hAnsi="Times New Roman" w:eastAsia="黑体" w:cs="Times New Roman"/>
          <w:bCs/>
          <w:sz w:val="22"/>
          <w:szCs w:val="24"/>
        </w:rPr>
        <w:drawing>
          <wp:anchor distT="0" distB="0" distL="114300" distR="114300" simplePos="0" relativeHeight="251698176" behindDoc="0" locked="0" layoutInCell="1" allowOverlap="1">
            <wp:simplePos x="0" y="0"/>
            <wp:positionH relativeFrom="column">
              <wp:posOffset>-850265</wp:posOffset>
            </wp:positionH>
            <wp:positionV relativeFrom="paragraph">
              <wp:posOffset>173990</wp:posOffset>
            </wp:positionV>
            <wp:extent cx="5623560" cy="3362325"/>
            <wp:effectExtent l="0" t="1123950" r="0" b="1133475"/>
            <wp:wrapNone/>
            <wp:docPr id="1182733219" name="图片 118273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19" name="图片 11827332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rot="16200000">
                      <a:off x="0" y="0"/>
                      <a:ext cx="5623560" cy="3362325"/>
                    </a:xfrm>
                    <a:prstGeom prst="rect">
                      <a:avLst/>
                    </a:prstGeom>
                    <a:noFill/>
                    <a:ln>
                      <a:noFill/>
                    </a:ln>
                  </pic:spPr>
                </pic:pic>
              </a:graphicData>
            </a:graphic>
          </wp:anchor>
        </w:drawing>
      </w:r>
    </w:p>
    <w:p w14:paraId="4CDECEE9">
      <w:pPr>
        <w:snapToGrid w:val="0"/>
        <w:spacing w:line="360" w:lineRule="exact"/>
        <w:ind w:firstLine="440" w:firstLineChars="200"/>
        <w:rPr>
          <w:rFonts w:ascii="Times New Roman" w:hAnsi="Times New Roman" w:eastAsia="黑体" w:cs="Times New Roman"/>
          <w:bCs/>
          <w:sz w:val="22"/>
          <w:szCs w:val="24"/>
        </w:rPr>
      </w:pPr>
    </w:p>
    <w:p w14:paraId="0384C688">
      <w:pPr>
        <w:snapToGrid w:val="0"/>
        <w:spacing w:line="360" w:lineRule="exact"/>
        <w:ind w:firstLine="440" w:firstLineChars="200"/>
        <w:rPr>
          <w:rFonts w:ascii="Times New Roman" w:hAnsi="Times New Roman" w:eastAsia="黑体" w:cs="Times New Roman"/>
          <w:bCs/>
          <w:sz w:val="22"/>
          <w:szCs w:val="24"/>
        </w:rPr>
      </w:pPr>
    </w:p>
    <w:p w14:paraId="2AB7096F">
      <w:pPr>
        <w:snapToGrid w:val="0"/>
        <w:spacing w:line="360" w:lineRule="exact"/>
        <w:ind w:firstLine="440" w:firstLineChars="200"/>
        <w:rPr>
          <w:rFonts w:ascii="Times New Roman" w:hAnsi="Times New Roman" w:eastAsia="黑体" w:cs="Times New Roman"/>
          <w:bCs/>
          <w:sz w:val="22"/>
          <w:szCs w:val="24"/>
        </w:rPr>
      </w:pPr>
    </w:p>
    <w:p w14:paraId="41F18F99">
      <w:pPr>
        <w:snapToGrid w:val="0"/>
        <w:spacing w:line="360" w:lineRule="exact"/>
        <w:ind w:firstLine="440" w:firstLineChars="200"/>
        <w:rPr>
          <w:rFonts w:ascii="Times New Roman" w:hAnsi="Times New Roman" w:eastAsia="黑体" w:cs="Times New Roman"/>
          <w:bCs/>
          <w:sz w:val="22"/>
          <w:szCs w:val="24"/>
        </w:rPr>
      </w:pPr>
    </w:p>
    <w:p w14:paraId="356964C0">
      <w:pPr>
        <w:snapToGrid w:val="0"/>
        <w:spacing w:line="360" w:lineRule="exact"/>
        <w:ind w:firstLine="440" w:firstLineChars="200"/>
        <w:rPr>
          <w:rFonts w:ascii="Times New Roman" w:hAnsi="Times New Roman" w:eastAsia="黑体" w:cs="Times New Roman"/>
          <w:bCs/>
          <w:sz w:val="22"/>
          <w:szCs w:val="24"/>
        </w:rPr>
      </w:pPr>
    </w:p>
    <w:p w14:paraId="6AA31E03">
      <w:pPr>
        <w:snapToGrid w:val="0"/>
        <w:spacing w:line="360" w:lineRule="exact"/>
        <w:ind w:firstLine="440" w:firstLineChars="200"/>
        <w:rPr>
          <w:rFonts w:ascii="Times New Roman" w:hAnsi="Times New Roman" w:eastAsia="黑体" w:cs="Times New Roman"/>
          <w:bCs/>
          <w:sz w:val="22"/>
          <w:szCs w:val="24"/>
        </w:rPr>
      </w:pPr>
    </w:p>
    <w:p w14:paraId="2A88A51F">
      <w:pPr>
        <w:snapToGrid w:val="0"/>
        <w:spacing w:line="360" w:lineRule="exact"/>
        <w:ind w:firstLine="440" w:firstLineChars="200"/>
        <w:rPr>
          <w:rFonts w:ascii="Times New Roman" w:hAnsi="Times New Roman" w:eastAsia="黑体" w:cs="Times New Roman"/>
          <w:bCs/>
          <w:sz w:val="22"/>
          <w:szCs w:val="24"/>
        </w:rPr>
      </w:pPr>
    </w:p>
    <w:p w14:paraId="365BA6FA">
      <w:pPr>
        <w:snapToGrid w:val="0"/>
        <w:spacing w:line="360" w:lineRule="exact"/>
        <w:ind w:firstLine="440" w:firstLineChars="200"/>
        <w:rPr>
          <w:rFonts w:ascii="Times New Roman" w:hAnsi="Times New Roman" w:eastAsia="黑体" w:cs="Times New Roman"/>
          <w:bCs/>
          <w:sz w:val="22"/>
          <w:szCs w:val="24"/>
        </w:rPr>
      </w:pPr>
    </w:p>
    <w:p w14:paraId="00D3B293">
      <w:pPr>
        <w:snapToGrid w:val="0"/>
        <w:spacing w:line="360" w:lineRule="exact"/>
        <w:ind w:firstLine="440" w:firstLineChars="200"/>
        <w:rPr>
          <w:rFonts w:ascii="Times New Roman" w:hAnsi="Times New Roman" w:eastAsia="黑体" w:cs="Times New Roman"/>
          <w:bCs/>
          <w:sz w:val="22"/>
          <w:szCs w:val="24"/>
        </w:rPr>
      </w:pPr>
    </w:p>
    <w:p w14:paraId="17F8FD4D">
      <w:pPr>
        <w:snapToGrid w:val="0"/>
        <w:spacing w:line="360" w:lineRule="exact"/>
        <w:ind w:firstLine="440" w:firstLineChars="200"/>
        <w:rPr>
          <w:rFonts w:ascii="Times New Roman" w:hAnsi="Times New Roman" w:eastAsia="黑体" w:cs="Times New Roman"/>
          <w:bCs/>
          <w:sz w:val="22"/>
          <w:szCs w:val="24"/>
        </w:rPr>
      </w:pPr>
    </w:p>
    <w:p w14:paraId="591DE22E">
      <w:pPr>
        <w:snapToGrid w:val="0"/>
        <w:spacing w:line="360" w:lineRule="exact"/>
        <w:ind w:firstLine="440" w:firstLineChars="200"/>
        <w:rPr>
          <w:rFonts w:ascii="Times New Roman" w:hAnsi="Times New Roman" w:eastAsia="黑体" w:cs="Times New Roman"/>
          <w:bCs/>
          <w:sz w:val="22"/>
          <w:szCs w:val="24"/>
        </w:rPr>
      </w:pPr>
    </w:p>
    <w:p w14:paraId="4620492C">
      <w:pPr>
        <w:snapToGrid w:val="0"/>
        <w:spacing w:line="360" w:lineRule="exact"/>
        <w:ind w:firstLine="440" w:firstLineChars="200"/>
        <w:rPr>
          <w:rFonts w:ascii="Times New Roman" w:hAnsi="Times New Roman" w:eastAsia="黑体" w:cs="Times New Roman"/>
          <w:bCs/>
          <w:sz w:val="22"/>
          <w:szCs w:val="24"/>
        </w:rPr>
      </w:pPr>
    </w:p>
    <w:p w14:paraId="19F1A9E3">
      <w:pPr>
        <w:snapToGrid w:val="0"/>
        <w:spacing w:line="360" w:lineRule="exact"/>
        <w:ind w:firstLine="440" w:firstLineChars="200"/>
        <w:rPr>
          <w:rFonts w:ascii="Times New Roman" w:hAnsi="Times New Roman" w:eastAsia="黑体" w:cs="Times New Roman"/>
          <w:bCs/>
          <w:sz w:val="22"/>
          <w:szCs w:val="24"/>
        </w:rPr>
      </w:pPr>
    </w:p>
    <w:p w14:paraId="67FF3815">
      <w:pPr>
        <w:snapToGrid w:val="0"/>
        <w:spacing w:line="360" w:lineRule="exact"/>
        <w:ind w:firstLine="440" w:firstLineChars="200"/>
        <w:rPr>
          <w:rFonts w:ascii="Times New Roman" w:hAnsi="Times New Roman" w:eastAsia="黑体" w:cs="Times New Roman"/>
          <w:bCs/>
          <w:sz w:val="22"/>
          <w:szCs w:val="24"/>
        </w:rPr>
      </w:pPr>
    </w:p>
    <w:p w14:paraId="17CCA51D">
      <w:pPr>
        <w:snapToGrid w:val="0"/>
        <w:spacing w:line="360" w:lineRule="exact"/>
        <w:ind w:firstLine="440" w:firstLineChars="200"/>
        <w:rPr>
          <w:rFonts w:ascii="Times New Roman" w:hAnsi="Times New Roman" w:eastAsia="黑体" w:cs="Times New Roman"/>
          <w:bCs/>
          <w:sz w:val="22"/>
          <w:szCs w:val="24"/>
        </w:rPr>
      </w:pPr>
    </w:p>
    <w:p w14:paraId="7C4975FB">
      <w:pPr>
        <w:snapToGrid w:val="0"/>
        <w:spacing w:line="360" w:lineRule="exact"/>
        <w:ind w:firstLine="440" w:firstLineChars="200"/>
        <w:rPr>
          <w:rFonts w:ascii="Times New Roman" w:hAnsi="Times New Roman" w:eastAsia="黑体" w:cs="Times New Roman"/>
          <w:bCs/>
          <w:sz w:val="22"/>
          <w:szCs w:val="24"/>
        </w:rPr>
      </w:pPr>
    </w:p>
    <w:p w14:paraId="036EF9DD">
      <w:pPr>
        <w:snapToGrid w:val="0"/>
        <w:spacing w:line="360" w:lineRule="exact"/>
        <w:ind w:firstLine="440" w:firstLineChars="200"/>
        <w:rPr>
          <w:rFonts w:ascii="Times New Roman" w:hAnsi="Times New Roman" w:eastAsia="黑体" w:cs="Times New Roman"/>
          <w:bCs/>
          <w:sz w:val="22"/>
          <w:szCs w:val="24"/>
        </w:rPr>
      </w:pPr>
    </w:p>
    <w:p w14:paraId="203EE4D5">
      <w:pPr>
        <w:snapToGrid w:val="0"/>
        <w:spacing w:line="360" w:lineRule="exact"/>
        <w:ind w:firstLine="440" w:firstLineChars="200"/>
        <w:rPr>
          <w:rFonts w:ascii="Times New Roman" w:hAnsi="Times New Roman" w:eastAsia="黑体" w:cs="Times New Roman"/>
          <w:bCs/>
          <w:sz w:val="22"/>
          <w:szCs w:val="24"/>
        </w:rPr>
      </w:pPr>
    </w:p>
    <w:p w14:paraId="7006FB6F">
      <w:pPr>
        <w:snapToGrid w:val="0"/>
        <w:spacing w:line="360" w:lineRule="exact"/>
        <w:ind w:firstLine="440" w:firstLineChars="200"/>
        <w:rPr>
          <w:rFonts w:ascii="Times New Roman" w:hAnsi="Times New Roman" w:eastAsia="黑体" w:cs="Times New Roman"/>
          <w:bCs/>
          <w:sz w:val="22"/>
          <w:szCs w:val="24"/>
        </w:rPr>
      </w:pPr>
    </w:p>
    <w:p w14:paraId="6D21A201">
      <w:pPr>
        <w:snapToGrid w:val="0"/>
        <w:spacing w:line="360" w:lineRule="exact"/>
        <w:rPr>
          <w:rFonts w:ascii="Times New Roman" w:hAnsi="Times New Roman" w:eastAsia="黑体" w:cs="Times New Roman"/>
          <w:bCs/>
          <w:sz w:val="22"/>
          <w:szCs w:val="24"/>
        </w:rPr>
      </w:pPr>
      <w:r>
        <w:rPr>
          <w:rFonts w:ascii="Times New Roman" w:hAnsi="Times New Roman" w:eastAsia="黑体" w:cs="Times New Roman"/>
          <w:bCs/>
          <w:sz w:val="22"/>
          <w:szCs w:val="24"/>
        </w:rPr>
        <w:t>for sofa, luggage and bag, clothing leather, automotive seat leather, etc. Based on Liuyang ETDZ, Linxiang HTZ, and Guiyang HTZ, with a focus on the furniture manufacturing industry, we aim to attract enterprises specializing in mid-to-high-end furniture</w:t>
      </w:r>
      <w:r>
        <w:rPr>
          <w:rFonts w:hint="eastAsia" w:ascii="Times New Roman" w:hAnsi="Times New Roman" w:eastAsia="黑体" w:cs="Times New Roman"/>
          <w:bCs/>
          <w:sz w:val="22"/>
          <w:szCs w:val="24"/>
        </w:rPr>
        <w:t xml:space="preserve"> for</w:t>
      </w:r>
      <w:r>
        <w:rPr>
          <w:rFonts w:ascii="Times New Roman" w:hAnsi="Times New Roman" w:eastAsia="黑体" w:cs="Times New Roman"/>
          <w:bCs/>
          <w:sz w:val="22"/>
          <w:szCs w:val="24"/>
        </w:rPr>
        <w:t xml:space="preserve"> daily, commercial, and office uses, bamboo flooring, bamboo furniture, bamboo tableware, bamboo office supplies, bamboo crafts, etc.</w:t>
      </w:r>
    </w:p>
    <w:bookmarkEnd w:id="0"/>
    <w:p w14:paraId="7E167B6C">
      <w:pPr>
        <w:snapToGrid w:val="0"/>
        <w:ind w:firstLine="772" w:firstLineChars="386"/>
        <w:rPr>
          <w:rFonts w:ascii="Times New Roman" w:hAnsi="Times New Roman" w:eastAsia="仿宋" w:cs="Times New Roman"/>
          <w:sz w:val="20"/>
          <w:szCs w:val="20"/>
        </w:rPr>
        <w:sectPr>
          <w:headerReference r:id="rId9" w:type="default"/>
          <w:pgSz w:w="8391" w:h="11907"/>
          <w:pgMar w:top="1440" w:right="1080" w:bottom="1440" w:left="1080" w:header="680" w:footer="992" w:gutter="0"/>
          <w:cols w:space="720" w:num="1"/>
          <w:docGrid w:type="lines" w:linePitch="381" w:charSpace="0"/>
        </w:sectPr>
      </w:pPr>
    </w:p>
    <w:p w14:paraId="38C2D150">
      <w:pPr>
        <w:snapToGrid w:val="0"/>
        <w:spacing w:afterLines="100" w:line="360" w:lineRule="exact"/>
        <w:jc w:val="center"/>
        <w:outlineLvl w:val="0"/>
        <w:rPr>
          <w:rFonts w:ascii="Times New Roman" w:hAnsi="Times New Roman" w:eastAsia="仿宋" w:cs="Times New Roman"/>
          <w:b/>
          <w:bCs/>
          <w:sz w:val="28"/>
          <w:szCs w:val="28"/>
        </w:rPr>
      </w:pPr>
      <w:bookmarkStart w:id="99" w:name="_Toc163910317"/>
      <w:bookmarkStart w:id="100" w:name="_Toc131156289"/>
      <w:r>
        <w:rPr>
          <w:rFonts w:ascii="Times New Roman" w:hAnsi="Times New Roman" w:eastAsia="仿宋" w:cs="Times New Roman"/>
          <w:b/>
          <w:bCs/>
          <w:sz w:val="28"/>
          <w:szCs w:val="28"/>
        </w:rPr>
        <w:t>II. Advantageous Industries</w:t>
      </w:r>
      <w:bookmarkEnd w:id="99"/>
    </w:p>
    <w:p w14:paraId="7A6446E4">
      <w:pPr>
        <w:keepNext/>
        <w:snapToGrid w:val="0"/>
        <w:spacing w:afterLines="50" w:line="360" w:lineRule="exact"/>
        <w:jc w:val="center"/>
        <w:outlineLvl w:val="1"/>
        <w:rPr>
          <w:rFonts w:ascii="Times New Roman" w:hAnsi="Times New Roman" w:eastAsia="仿宋" w:cs="Times New Roman"/>
          <w:b/>
          <w:bCs/>
          <w:sz w:val="22"/>
          <w:szCs w:val="24"/>
        </w:rPr>
      </w:pPr>
      <w:bookmarkStart w:id="101" w:name="_Toc163910318"/>
      <w:r>
        <w:rPr>
          <w:rFonts w:ascii="Times New Roman" w:hAnsi="Times New Roman" w:eastAsia="仿宋" w:cs="Times New Roman"/>
          <w:b/>
          <w:bCs/>
          <w:sz w:val="22"/>
          <w:szCs w:val="24"/>
        </w:rPr>
        <w:t>5. Construction Machinery</w:t>
      </w:r>
      <w:bookmarkEnd w:id="101"/>
    </w:p>
    <w:p w14:paraId="6B33EF68">
      <w:pPr>
        <w:keepNext/>
        <w:snapToGrid w:val="0"/>
        <w:spacing w:line="360" w:lineRule="exact"/>
        <w:ind w:firstLine="442" w:firstLineChars="200"/>
        <w:outlineLvl w:val="2"/>
        <w:rPr>
          <w:rFonts w:ascii="Times New Roman" w:hAnsi="Times New Roman" w:eastAsia="黑体" w:cs="Times New Roman"/>
          <w:b/>
          <w:sz w:val="22"/>
          <w:szCs w:val="24"/>
        </w:rPr>
      </w:pPr>
      <w:bookmarkStart w:id="102" w:name="_Toc163910319"/>
      <w:r>
        <w:rPr>
          <w:rFonts w:ascii="Times New Roman" w:hAnsi="Times New Roman" w:eastAsia="黑体" w:cs="Times New Roman"/>
          <w:b/>
          <w:sz w:val="22"/>
          <w:szCs w:val="24"/>
        </w:rPr>
        <w:t>(1) Development Status</w:t>
      </w:r>
      <w:bookmarkEnd w:id="102"/>
    </w:p>
    <w:p w14:paraId="7C56EDC4">
      <w:pPr>
        <w:snapToGrid w:val="0"/>
        <w:spacing w:line="360" w:lineRule="exact"/>
        <w:ind w:firstLine="440" w:firstLineChars="200"/>
        <w:rPr>
          <w:rFonts w:hint="eastAsia" w:ascii="Times New Roman" w:hAnsi="Times New Roman" w:eastAsia="仿宋" w:cs="Times New Roman"/>
          <w:sz w:val="22"/>
          <w:szCs w:val="24"/>
        </w:rPr>
      </w:pPr>
      <w:r>
        <w:rPr>
          <w:rFonts w:hint="eastAsia" w:ascii="Times New Roman" w:hAnsi="Times New Roman" w:eastAsia="仿宋" w:cs="Times New Roman"/>
          <w:sz w:val="22"/>
          <w:szCs w:val="24"/>
        </w:rPr>
        <w:t>In 2024, the revenue of Hunan's construction machinery industrial cluster reached 230 billion yuan, and its industrial scale has ranked first in China for 15 consecutive years. Changsha, known as the "Capital of Construction Machinery", hosts a cluster that is among the first batch of national advanced manufacturing clusters to be selected and approved, and it has been included in the cultivation pool for world-class advanced manufacturing clusters.</w:t>
      </w:r>
    </w:p>
    <w:p w14:paraId="08AA6D19">
      <w:pPr>
        <w:snapToGrid w:val="0"/>
        <w:spacing w:line="360" w:lineRule="exact"/>
        <w:ind w:firstLine="440" w:firstLineChars="200"/>
        <w:rPr>
          <w:rFonts w:ascii="Times New Roman" w:hAnsi="Times New Roman" w:eastAsia="仿宋" w:cs="Times New Roman"/>
          <w:sz w:val="22"/>
          <w:szCs w:val="24"/>
        </w:rPr>
      </w:pPr>
      <w:r>
        <w:rPr>
          <w:rFonts w:hint="eastAsia" w:ascii="Times New Roman" w:hAnsi="Times New Roman" w:eastAsia="仿宋" w:cs="Times New Roman"/>
          <w:sz w:val="22"/>
          <w:szCs w:val="24"/>
        </w:rPr>
        <w:t>Five enterprises – Sany Heavy Industry, Zoomlion, Sunward Intelligent, China Railway Construction Heavy Industry (CRCHI), and XCMG continue to be listed among the "Global Top 50 Construction Machinery Manufacturers". Among them, Sany Heavy Industry not only leads Chinese manufacturers in global construction machinery brand value rankings, but its products such as concrete machinery, excavators, construction cranes, full-face tunnel boring machines, and piling equipment also achieve world-leading production and sales volumes.</w:t>
      </w:r>
    </w:p>
    <w:p w14:paraId="5F317C57">
      <w:pPr>
        <w:snapToGrid w:val="0"/>
        <w:spacing w:beforeLines="50"/>
        <w:rPr>
          <w:rFonts w:ascii="Times New Roman" w:hAnsi="Times New Roman" w:eastAsia="仿宋" w:cs="Times New Roman"/>
          <w:sz w:val="20"/>
          <w:szCs w:val="20"/>
        </w:rPr>
      </w:pPr>
      <w:r>
        <w:drawing>
          <wp:inline distT="0" distB="0" distL="0" distR="0">
            <wp:extent cx="4064000" cy="1446530"/>
            <wp:effectExtent l="0" t="0" r="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4078959" cy="1451905"/>
                    </a:xfrm>
                    <a:prstGeom prst="rect">
                      <a:avLst/>
                    </a:prstGeom>
                    <a:noFill/>
                    <a:ln>
                      <a:noFill/>
                    </a:ln>
                  </pic:spPr>
                </pic:pic>
              </a:graphicData>
            </a:graphic>
          </wp:inline>
        </w:drawing>
      </w:r>
    </w:p>
    <w:p w14:paraId="6A98F2DC">
      <w:pPr>
        <w:jc w:val="center"/>
        <w:rPr>
          <w:rFonts w:ascii="Times New Roman" w:hAnsi="Times New Roman" w:eastAsia="仿宋" w:cs="Times New Roman"/>
          <w:sz w:val="18"/>
          <w:szCs w:val="20"/>
        </w:rPr>
      </w:pPr>
      <w:r>
        <w:rPr>
          <w:rFonts w:ascii="Times New Roman" w:hAnsi="Times New Roman" w:eastAsia="仿宋" w:cs="Times New Roman"/>
          <w:sz w:val="18"/>
          <w:szCs w:val="20"/>
        </w:rPr>
        <w:t>Leading companies in construction machinery</w:t>
      </w:r>
    </w:p>
    <w:p w14:paraId="25199EBB">
      <w:pPr>
        <w:jc w:val="center"/>
        <w:rPr>
          <w:rFonts w:ascii="Times New Roman" w:hAnsi="Times New Roman" w:eastAsia="黑体" w:cs="Times New Roman"/>
          <w:sz w:val="13"/>
          <w:szCs w:val="16"/>
        </w:rPr>
      </w:pPr>
    </w:p>
    <w:p w14:paraId="7D8D684B">
      <w:pPr>
        <w:keepNext/>
        <w:snapToGrid w:val="0"/>
        <w:spacing w:line="360" w:lineRule="exact"/>
        <w:ind w:firstLine="442" w:firstLineChars="200"/>
        <w:outlineLvl w:val="2"/>
        <w:rPr>
          <w:rFonts w:ascii="Times New Roman" w:hAnsi="Times New Roman" w:eastAsia="黑体" w:cs="Times New Roman"/>
          <w:b/>
          <w:sz w:val="22"/>
          <w:szCs w:val="24"/>
        </w:rPr>
      </w:pPr>
      <w:bookmarkStart w:id="103" w:name="_Toc163910320"/>
      <w:r>
        <w:rPr>
          <w:rFonts w:ascii="Times New Roman" w:hAnsi="Times New Roman" w:eastAsia="黑体" w:cs="Times New Roman"/>
          <w:b/>
          <w:sz w:val="22"/>
          <w:szCs w:val="24"/>
        </w:rPr>
        <w:t>(2) Development Target</w:t>
      </w:r>
      <w:bookmarkEnd w:id="103"/>
    </w:p>
    <w:p w14:paraId="5DB29F55">
      <w:pPr>
        <w:snapToGrid w:val="0"/>
        <w:spacing w:line="360" w:lineRule="exact"/>
        <w:ind w:firstLine="440" w:firstLineChars="200"/>
        <w:rPr>
          <w:rFonts w:ascii="Times New Roman" w:hAnsi="Times New Roman" w:eastAsia="仿宋" w:cs="Times New Roman"/>
          <w:sz w:val="22"/>
          <w:szCs w:val="24"/>
        </w:rPr>
      </w:pPr>
      <w:r>
        <w:rPr>
          <w:rFonts w:ascii="Times New Roman" w:hAnsi="Times New Roman" w:eastAsia="仿宋" w:cs="Times New Roman"/>
          <w:sz w:val="22"/>
          <w:szCs w:val="24"/>
        </w:rPr>
        <w:t>By 2027, Hunan’s construction machinery enterprises will generate a revenue of over 300 billion yuan, with at least one company reaching a revenue of 100 billion yuan for the first time and another at 10 billion yuan. There will also be a significant increase in the local sourcing rate of components. The aim is to establish the province as a global hub for innovation in construction machinery technology, a center for high-end manufacturing, and a destination for cooperation and exchange.</w:t>
      </w:r>
    </w:p>
    <w:p w14:paraId="6BBA43B8">
      <w:pPr>
        <w:keepNext/>
        <w:snapToGrid w:val="0"/>
        <w:spacing w:line="360" w:lineRule="exact"/>
        <w:ind w:firstLine="442" w:firstLineChars="200"/>
        <w:outlineLvl w:val="2"/>
        <w:rPr>
          <w:rFonts w:ascii="Times New Roman" w:hAnsi="Times New Roman" w:eastAsia="黑体" w:cs="Times New Roman"/>
          <w:b/>
          <w:sz w:val="22"/>
          <w:szCs w:val="24"/>
        </w:rPr>
      </w:pPr>
      <w:bookmarkStart w:id="104" w:name="_Toc163910321"/>
      <w:r>
        <w:rPr>
          <w:rFonts w:ascii="Times New Roman" w:hAnsi="Times New Roman" w:eastAsia="黑体" w:cs="Times New Roman"/>
          <w:b/>
          <w:sz w:val="22"/>
          <w:szCs w:val="24"/>
        </w:rPr>
        <w:t>(3) Policy Support</w:t>
      </w:r>
      <w:bookmarkEnd w:id="104"/>
    </w:p>
    <w:p w14:paraId="7AB170FF">
      <w:pPr>
        <w:pStyle w:val="85"/>
        <w:numPr>
          <w:ilvl w:val="0"/>
          <w:numId w:val="3"/>
        </w:numPr>
        <w:ind w:left="426" w:hanging="142" w:firstLineChars="0"/>
        <w:rPr>
          <w:i/>
          <w:iCs/>
        </w:rPr>
      </w:pPr>
      <w:r>
        <w:rPr>
          <w:i/>
          <w:iCs/>
        </w:rPr>
        <w:t>14th Five-Year Plan for the Development of Strategic Emerging Industries in Hunan Province</w:t>
      </w:r>
    </w:p>
    <w:p w14:paraId="248DC3E2">
      <w:pPr>
        <w:pStyle w:val="85"/>
        <w:numPr>
          <w:ilvl w:val="0"/>
          <w:numId w:val="3"/>
        </w:numPr>
        <w:ind w:left="426" w:hanging="142" w:firstLineChars="0"/>
        <w:rPr>
          <w:i/>
          <w:iCs/>
        </w:rPr>
      </w:pPr>
      <w:r>
        <w:rPr>
          <w:i/>
          <w:iCs/>
        </w:rPr>
        <w:t>14th Five-Year Plan for the Development of Equipment Manufacturing Industry in Hunan Province</w:t>
      </w:r>
    </w:p>
    <w:p w14:paraId="1294345A">
      <w:pPr>
        <w:pStyle w:val="85"/>
        <w:numPr>
          <w:ilvl w:val="0"/>
          <w:numId w:val="3"/>
        </w:numPr>
        <w:ind w:left="426" w:hanging="142" w:firstLineChars="0"/>
        <w:rPr>
          <w:i/>
          <w:iCs/>
        </w:rPr>
      </w:pPr>
      <w:r>
        <w:rPr>
          <w:i/>
          <w:iCs/>
        </w:rPr>
        <w:t>14th Five-Year Plan for the Development of Construction Machinery Industry in Hunan Province</w:t>
      </w:r>
    </w:p>
    <w:p w14:paraId="26BEB973">
      <w:pPr>
        <w:pStyle w:val="85"/>
        <w:numPr>
          <w:ilvl w:val="0"/>
          <w:numId w:val="3"/>
        </w:numPr>
        <w:ind w:left="426" w:hanging="142" w:firstLineChars="0"/>
        <w:rPr>
          <w:i/>
          <w:iCs/>
        </w:rPr>
      </w:pPr>
      <w:r>
        <w:rPr>
          <w:i/>
          <w:iCs/>
        </w:rPr>
        <w:t>14th Five-Year Plan for the Development of Intelligent Agricultural Machinery Industry in Hunan Province</w:t>
      </w:r>
    </w:p>
    <w:p w14:paraId="4CFAB20E">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82816" behindDoc="0" locked="0" layoutInCell="1" allowOverlap="1">
                <wp:simplePos x="0" y="0"/>
                <wp:positionH relativeFrom="margin">
                  <wp:posOffset>3053715</wp:posOffset>
                </wp:positionH>
                <wp:positionV relativeFrom="margin">
                  <wp:posOffset>4595495</wp:posOffset>
                </wp:positionV>
                <wp:extent cx="914400" cy="962025"/>
                <wp:effectExtent l="6350" t="6350" r="8890" b="6985"/>
                <wp:wrapSquare wrapText="bothSides"/>
                <wp:docPr id="44" name="文本框 11"/>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5F2822A0">
                            <w:pPr>
                              <w:pStyle w:val="92"/>
                              <w:adjustRightInd w:val="0"/>
                            </w:pPr>
                            <w:r>
                              <w:drawing>
                                <wp:inline distT="0" distB="0" distL="0" distR="0">
                                  <wp:extent cx="722630" cy="722630"/>
                                  <wp:effectExtent l="0" t="0" r="127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54">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64E059A5">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362AD50C">
                            <w:pPr>
                              <w:pStyle w:val="92"/>
                              <w:adjustRightInd w:val="0"/>
                            </w:pPr>
                          </w:p>
                        </w:txbxContent>
                      </wps:txbx>
                      <wps:bodyPr upright="1"/>
                    </wps:wsp>
                  </a:graphicData>
                </a:graphic>
              </wp:anchor>
            </w:drawing>
          </mc:Choice>
          <mc:Fallback>
            <w:pict>
              <v:shape id="文本框 11" o:spid="_x0000_s1026" o:spt="202" type="#_x0000_t202" style="position:absolute;left:0pt;margin-left:240.45pt;margin-top:361.85pt;height:75.75pt;width:72pt;mso-position-horizontal-relative:margin;mso-position-vertical-relative:margin;mso-wrap-distance-bottom:0pt;mso-wrap-distance-left:9pt;mso-wrap-distance-right:9pt;mso-wrap-distance-top:0pt;z-index:251682816;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">
                <v:fill on="f" focussize="0,0"/>
                <v:stroke weight="1pt" color="#A8D08D" joinstyle="miter"/>
                <v:imagedata o:title=""/>
                <o:lock v:ext="edit" aspectratio="f"/>
                <v:textbox>
                  <w:txbxContent>
                    <w:p w14:paraId="5F2822A0">
                      <w:pPr>
                        <w:pStyle w:val="92"/>
                        <w:adjustRightInd w:val="0"/>
                      </w:pPr>
                      <w:r>
                        <w:drawing>
                          <wp:inline distT="0" distB="0" distL="0" distR="0">
                            <wp:extent cx="722630" cy="722630"/>
                            <wp:effectExtent l="0" t="0" r="127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54">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64E059A5">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362AD50C">
                      <w:pPr>
                        <w:pStyle w:val="92"/>
                        <w:adjustRightInd w:val="0"/>
                      </w:pPr>
                    </w:p>
                  </w:txbxContent>
                </v:textbox>
                <w10:wrap type="square"/>
              </v:shape>
            </w:pict>
          </mc:Fallback>
        </mc:AlternateContent>
      </w:r>
      <w:r>
        <w:rPr>
          <w:i/>
          <w:iCs/>
        </w:rPr>
        <w:t>Implementation Guidelines for People’s Government of Hunan Province on Accelerating Agricultural Mechanization and the Transformation and Upgrading of Agricultural Machinery Equipment Industry</w:t>
      </w:r>
    </w:p>
    <w:p w14:paraId="0119CDC0">
      <w:pPr>
        <w:pStyle w:val="85"/>
        <w:numPr>
          <w:ilvl w:val="0"/>
          <w:numId w:val="3"/>
        </w:numPr>
        <w:ind w:left="426" w:hanging="142" w:firstLineChars="0"/>
        <w:rPr>
          <w:i/>
          <w:iCs/>
        </w:rPr>
      </w:pPr>
      <w:r>
        <w:rPr>
          <w:i/>
          <w:iCs/>
        </w:rPr>
        <w:t>Measures to Address the Shortcomings in Agricultural Machinery Equipment and Build a Pacesetter for the Development of Intelligent Agricultural Machinery Industry</w:t>
      </w:r>
    </w:p>
    <w:p w14:paraId="35D0BC40">
      <w:pPr>
        <w:rPr>
          <w:i/>
          <w:iCs/>
        </w:rPr>
      </w:pPr>
      <w:r>
        <w:rPr>
          <w:iCs/>
        </w:rPr>
        <mc:AlternateContent>
          <mc:Choice Requires="wps">
            <w:drawing>
              <wp:anchor distT="0" distB="0" distL="114300" distR="114300" simplePos="0" relativeHeight="251665408" behindDoc="0" locked="0" layoutInCell="1" allowOverlap="1">
                <wp:simplePos x="0" y="0"/>
                <wp:positionH relativeFrom="column">
                  <wp:posOffset>180975</wp:posOffset>
                </wp:positionH>
                <wp:positionV relativeFrom="paragraph">
                  <wp:posOffset>116205</wp:posOffset>
                </wp:positionV>
                <wp:extent cx="3801110" cy="1835785"/>
                <wp:effectExtent l="6350" t="124460" r="17780" b="20955"/>
                <wp:wrapNone/>
                <wp:docPr id="12" name="矩形标注 36"/>
                <wp:cNvGraphicFramePr/>
                <a:graphic xmlns:a="http://schemas.openxmlformats.org/drawingml/2006/main">
                  <a:graphicData uri="http://schemas.microsoft.com/office/word/2010/wordprocessingShape">
                    <wps:wsp>
                      <wps:cNvSpPr/>
                      <wps:spPr>
                        <a:xfrm>
                          <a:off x="0" y="0"/>
                          <a:ext cx="3801110" cy="1835785"/>
                        </a:xfrm>
                        <a:prstGeom prst="wedgeRectCallout">
                          <a:avLst>
                            <a:gd name="adj1" fmla="val -41856"/>
                            <a:gd name="adj2" fmla="val -56181"/>
                          </a:avLst>
                        </a:prstGeom>
                        <a:solidFill>
                          <a:srgbClr val="E2EFD9"/>
                        </a:solidFill>
                        <a:ln w="12700" cap="flat" cmpd="sng">
                          <a:solidFill>
                            <a:srgbClr val="A8D08D"/>
                          </a:solidFill>
                          <a:prstDash val="solid"/>
                          <a:miter/>
                          <a:headEnd type="none" w="med" len="med"/>
                          <a:tailEnd type="none" w="med" len="med"/>
                        </a:ln>
                      </wps:spPr>
                      <wps:txbx>
                        <w:txbxContent>
                          <w:p w14:paraId="521AC06D">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661CE500">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Enhanced Level of Agricultural Machinery Manufacturing. </w:t>
                            </w:r>
                            <w:r>
                              <w:rPr>
                                <w:rFonts w:ascii="Times New Roman" w:hAnsi="Times New Roman" w:cs="Times New Roman"/>
                                <w:color w:val="3F3F3F" w:themeColor="text1" w:themeTint="BF"/>
                                <w:sz w:val="18"/>
                                <w:szCs w:val="18"/>
                              </w:rPr>
                              <w:t>Recognition and rewards will be granted to entities awarded as national-level model, exemplary enterprises, provincial benchmark enterprises, and innovation centers according to relevant policies. Enterprises designing and producing first agricultural machinery and equipment meeting relevant criteria will be awarded with incentives.</w:t>
                            </w:r>
                          </w:p>
                          <w:p w14:paraId="028C2C71">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Boosted Financial Support. </w:t>
                            </w:r>
                            <w:r>
                              <w:rPr>
                                <w:rFonts w:ascii="Times New Roman" w:hAnsi="Times New Roman" w:cs="Times New Roman"/>
                                <w:color w:val="3F3F3F" w:themeColor="text1" w:themeTint="BF"/>
                                <w:sz w:val="18"/>
                                <w:szCs w:val="18"/>
                              </w:rPr>
                              <w:t>Financial institutions are encouraged to extend credit loans, guarantee loans, or equipment mortgage loans to machinery buyers and agricultural machinery sales enterprises. Eligible agricultural machinery enterprises are supported to issue debt financing tools for non-financial enterprises including short-term financing bonds, medium-term notes, and targeted instruments to expand their avenues for financing.</w:t>
                            </w:r>
                          </w:p>
                        </w:txbxContent>
                      </wps:txbx>
                      <wps:bodyPr anchor="ctr" anchorCtr="0" upright="1"/>
                    </wps:wsp>
                  </a:graphicData>
                </a:graphic>
              </wp:anchor>
            </w:drawing>
          </mc:Choice>
          <mc:Fallback>
            <w:pict>
              <v:shape id="矩形标注 36" o:spid="_x0000_s1026" o:spt="61" type="#_x0000_t61" style="position:absolute;left:0pt;margin-left:14.25pt;margin-top:9.15pt;height:144.55pt;width:299.3pt;z-index:251665408;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" adj="1759,-1335">
                <v:fill on="t" focussize="0,0"/>
                <v:stroke weight="1pt" color="#A8D08D" joinstyle="miter"/>
                <v:imagedata o:title=""/>
                <o:lock v:ext="edit" aspectratio="f"/>
                <v:textbox>
                  <w:txbxContent>
                    <w:p w14:paraId="521AC06D">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661CE500">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Enhanced Level of Agricultural Machinery Manufacturing. </w:t>
                      </w:r>
                      <w:r>
                        <w:rPr>
                          <w:rFonts w:ascii="Times New Roman" w:hAnsi="Times New Roman" w:cs="Times New Roman"/>
                          <w:color w:val="3F3F3F" w:themeColor="text1" w:themeTint="BF"/>
                          <w:sz w:val="18"/>
                          <w:szCs w:val="18"/>
                        </w:rPr>
                        <w:t>Recognition and rewards will be granted to entities awarded as national-level model, exemplary enterprises, provincial benchmark enterprises, and innovation centers according to relevant policies. Enterprises designing and producing first agricultural machinery and equipment meeting relevant criteria will be awarded with incentives.</w:t>
                      </w:r>
                    </w:p>
                    <w:p w14:paraId="028C2C71">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Boosted Financial Support. </w:t>
                      </w:r>
                      <w:r>
                        <w:rPr>
                          <w:rFonts w:ascii="Times New Roman" w:hAnsi="Times New Roman" w:cs="Times New Roman"/>
                          <w:color w:val="3F3F3F" w:themeColor="text1" w:themeTint="BF"/>
                          <w:sz w:val="18"/>
                          <w:szCs w:val="18"/>
                        </w:rPr>
                        <w:t>Financial institutions are encouraged to extend credit loans, guarantee loans, or equipment mortgage loans to machinery buyers and agricultural machinery sales enterprises. Eligible agricultural machinery enterprises are supported to issue debt financing tools for non-financial enterprises including short-term financing bonds, medium-term notes, and targeted instruments to expand their avenues for financing.</w:t>
                      </w:r>
                    </w:p>
                  </w:txbxContent>
                </v:textbox>
              </v:shape>
            </w:pict>
          </mc:Fallback>
        </mc:AlternateContent>
      </w:r>
    </w:p>
    <w:p w14:paraId="39367D41">
      <w:pPr>
        <w:rPr>
          <w:i/>
          <w:iCs/>
        </w:rPr>
      </w:pPr>
    </w:p>
    <w:p w14:paraId="2743105D">
      <w:pPr>
        <w:rPr>
          <w:i/>
          <w:iCs/>
        </w:rPr>
      </w:pPr>
    </w:p>
    <w:p w14:paraId="26D548B7">
      <w:pPr>
        <w:rPr>
          <w:i/>
          <w:iCs/>
        </w:rPr>
      </w:pPr>
    </w:p>
    <w:p w14:paraId="360D8E84">
      <w:pPr>
        <w:rPr>
          <w:i/>
          <w:iCs/>
        </w:rPr>
      </w:pPr>
    </w:p>
    <w:p w14:paraId="0819C295">
      <w:pPr>
        <w:rPr>
          <w:i/>
          <w:iCs/>
        </w:rPr>
      </w:pPr>
    </w:p>
    <w:p w14:paraId="006C2F07">
      <w:pPr>
        <w:rPr>
          <w:i/>
          <w:iCs/>
        </w:rPr>
      </w:pPr>
    </w:p>
    <w:p w14:paraId="4003AD7C">
      <w:pPr>
        <w:rPr>
          <w:i/>
          <w:iCs/>
        </w:rPr>
      </w:pPr>
    </w:p>
    <w:p w14:paraId="43AFE68C">
      <w:pPr>
        <w:pStyle w:val="85"/>
        <w:numPr>
          <w:ilvl w:val="0"/>
          <w:numId w:val="3"/>
        </w:numPr>
        <w:spacing w:beforeLines="50"/>
        <w:ind w:left="426" w:hanging="142" w:firstLineChars="0"/>
        <w:rPr>
          <w:i/>
          <w:iCs/>
        </w:rPr>
      </w:pPr>
      <w:r>
        <w:rPr>
          <w:i/>
          <w:iCs/>
        </w:rPr>
        <w:t>Regulations on Promoting Advanced Manufacturing Industry in Hunan Province</w:t>
      </w:r>
    </w:p>
    <w:p w14:paraId="001D05FD">
      <w:pPr>
        <w:pStyle w:val="85"/>
        <w:numPr>
          <w:ilvl w:val="0"/>
          <w:numId w:val="3"/>
        </w:numPr>
        <w:ind w:left="426" w:hanging="142" w:firstLineChars="0"/>
        <w:rPr>
          <w:i/>
          <w:iCs/>
        </w:rPr>
      </w:pPr>
      <w:r>
        <w:rPr>
          <w:i/>
          <w:iCs/>
        </w:rPr>
        <w:t>Policy Measures to Support the Development of Advanced Manufacturing Supply Chain</w:t>
      </w:r>
    </w:p>
    <w:p w14:paraId="2AB0C14C">
      <w:pPr>
        <w:rPr>
          <w:i/>
          <w:iCs/>
        </w:rPr>
      </w:pPr>
      <w:r>
        <w:rPr>
          <w:iCs/>
        </w:rPr>
        <mc:AlternateContent>
          <mc:Choice Requires="wps">
            <w:drawing>
              <wp:anchor distT="0" distB="0" distL="114300" distR="114300" simplePos="0" relativeHeight="251666432" behindDoc="0" locked="0" layoutInCell="1" allowOverlap="1">
                <wp:simplePos x="0" y="0"/>
                <wp:positionH relativeFrom="column">
                  <wp:posOffset>180975</wp:posOffset>
                </wp:positionH>
                <wp:positionV relativeFrom="paragraph">
                  <wp:posOffset>152400</wp:posOffset>
                </wp:positionV>
                <wp:extent cx="3801110" cy="1937385"/>
                <wp:effectExtent l="6350" t="130810" r="17780" b="19685"/>
                <wp:wrapNone/>
                <wp:docPr id="13" name="矩形标注 37"/>
                <wp:cNvGraphicFramePr/>
                <a:graphic xmlns:a="http://schemas.openxmlformats.org/drawingml/2006/main">
                  <a:graphicData uri="http://schemas.microsoft.com/office/word/2010/wordprocessingShape">
                    <wps:wsp>
                      <wps:cNvSpPr/>
                      <wps:spPr>
                        <a:xfrm>
                          <a:off x="0" y="0"/>
                          <a:ext cx="3801110" cy="1937385"/>
                        </a:xfrm>
                        <a:prstGeom prst="wedgeRectCallout">
                          <a:avLst>
                            <a:gd name="adj1" fmla="val -41856"/>
                            <a:gd name="adj2" fmla="val -56181"/>
                          </a:avLst>
                        </a:prstGeom>
                        <a:solidFill>
                          <a:srgbClr val="E2EFD9"/>
                        </a:solidFill>
                        <a:ln w="12700" cap="flat" cmpd="sng">
                          <a:solidFill>
                            <a:srgbClr val="A8D08D"/>
                          </a:solidFill>
                          <a:prstDash val="solid"/>
                          <a:miter/>
                          <a:headEnd type="none" w="med" len="med"/>
                          <a:tailEnd type="none" w="med" len="med"/>
                        </a:ln>
                      </wps:spPr>
                      <wps:txbx>
                        <w:txbxContent>
                          <w:p w14:paraId="0E38A92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1EE8247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Advancing key projects to bolster and extend industrial and supply chains. </w:t>
                            </w:r>
                            <w:r>
                              <w:rPr>
                                <w:rFonts w:ascii="Times New Roman" w:hAnsi="Times New Roman" w:cs="Times New Roman"/>
                                <w:color w:val="3F3F3F" w:themeColor="text1" w:themeTint="BF"/>
                                <w:sz w:val="18"/>
                                <w:szCs w:val="18"/>
                              </w:rPr>
                              <w:t>Key industrial projects with paid-in funds exceeding 200 million yuan are eligible to rewards equivalent to 1% (up to 10 million yuan) of the funds paid in that year. Government-related industrial investment funds will support key projects aimed at bolstering and extending industrial and supply chains, as well as technologically advanced supporting enterprises for “Little Giants” specializing in key industries, precision manufacturing, and emerging sectors.</w:t>
                            </w:r>
                          </w:p>
                          <w:p w14:paraId="586C511F">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Enhancing financial and fiscal coordination. </w:t>
                            </w:r>
                            <w:r>
                              <w:rPr>
                                <w:rFonts w:ascii="Times New Roman" w:hAnsi="Times New Roman" w:cs="Times New Roman"/>
                                <w:color w:val="3F3F3F" w:themeColor="text1" w:themeTint="BF"/>
                                <w:sz w:val="18"/>
                                <w:szCs w:val="18"/>
                              </w:rPr>
                              <w:t>Establishing a provincial special sub-fund for the development of advanced manufacturing, with a focus on supporting enterprises engaged in the production of key components for advanced manufacturing and priority projects for bolstering and extending industrial and supply chains.</w:t>
                            </w:r>
                          </w:p>
                        </w:txbxContent>
                      </wps:txbx>
                      <wps:bodyPr anchor="ctr" anchorCtr="0" upright="1"/>
                    </wps:wsp>
                  </a:graphicData>
                </a:graphic>
              </wp:anchor>
            </w:drawing>
          </mc:Choice>
          <mc:Fallback>
            <w:pict>
              <v:shape id="矩形标注 37" o:spid="_x0000_s1026" o:spt="61" type="#_x0000_t61" style="position:absolute;left:0pt;margin-left:14.25pt;margin-top:12pt;height:152.55pt;width:299.3pt;z-index:251666432;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" adj="1759,-1335">
                <v:fill on="t" focussize="0,0"/>
                <v:stroke weight="1pt" color="#A8D08D" joinstyle="miter"/>
                <v:imagedata o:title=""/>
                <o:lock v:ext="edit" aspectratio="f"/>
                <v:textbox>
                  <w:txbxContent>
                    <w:p w14:paraId="0E38A92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1EE8247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Advancing key projects to bolster and extend industrial and supply chains. </w:t>
                      </w:r>
                      <w:r>
                        <w:rPr>
                          <w:rFonts w:ascii="Times New Roman" w:hAnsi="Times New Roman" w:cs="Times New Roman"/>
                          <w:color w:val="3F3F3F" w:themeColor="text1" w:themeTint="BF"/>
                          <w:sz w:val="18"/>
                          <w:szCs w:val="18"/>
                        </w:rPr>
                        <w:t>Key industrial projects with paid-in funds exceeding 200 million yuan are eligible to rewards equivalent to 1% (up to 10 million yuan) of the funds paid in that year. Government-related industrial investment funds will support key projects aimed at bolstering and extending industrial and supply chains, as well as technologically advanced supporting enterprises for “Little Giants” specializing in key industries, precision manufacturing, and emerging sectors.</w:t>
                      </w:r>
                    </w:p>
                    <w:p w14:paraId="586C511F">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Enhancing financial and fiscal coordination. </w:t>
                      </w:r>
                      <w:r>
                        <w:rPr>
                          <w:rFonts w:ascii="Times New Roman" w:hAnsi="Times New Roman" w:cs="Times New Roman"/>
                          <w:color w:val="3F3F3F" w:themeColor="text1" w:themeTint="BF"/>
                          <w:sz w:val="18"/>
                          <w:szCs w:val="18"/>
                        </w:rPr>
                        <w:t>Establishing a provincial special sub-fund for the development of advanced manufacturing, with a focus on supporting enterprises engaged in the production of key components for advanced manufacturing and priority projects for bolstering and extending industrial and supply chains.</w:t>
                      </w:r>
                    </w:p>
                  </w:txbxContent>
                </v:textbox>
              </v:shape>
            </w:pict>
          </mc:Fallback>
        </mc:AlternateContent>
      </w:r>
    </w:p>
    <w:p w14:paraId="7B423F8A">
      <w:pPr>
        <w:rPr>
          <w:i/>
          <w:iCs/>
        </w:rPr>
      </w:pPr>
    </w:p>
    <w:p w14:paraId="033E83AE">
      <w:pPr>
        <w:rPr>
          <w:i/>
          <w:iCs/>
        </w:rPr>
      </w:pPr>
    </w:p>
    <w:p w14:paraId="45346D7E">
      <w:pPr>
        <w:rPr>
          <w:i/>
          <w:iCs/>
        </w:rPr>
      </w:pPr>
    </w:p>
    <w:p w14:paraId="393BE4AA">
      <w:pPr>
        <w:rPr>
          <w:i/>
          <w:iCs/>
        </w:rPr>
      </w:pPr>
    </w:p>
    <w:p w14:paraId="6F717E43">
      <w:pPr>
        <w:rPr>
          <w:i/>
          <w:iCs/>
        </w:rPr>
      </w:pPr>
    </w:p>
    <w:p w14:paraId="7D1CB48D">
      <w:pPr>
        <w:rPr>
          <w:i/>
          <w:iCs/>
        </w:rPr>
      </w:pPr>
    </w:p>
    <w:p w14:paraId="0C21733E">
      <w:pPr>
        <w:rPr>
          <w:i/>
          <w:iCs/>
        </w:rPr>
      </w:pPr>
    </w:p>
    <w:p w14:paraId="28F391F2">
      <w:pPr>
        <w:rPr>
          <w:i/>
          <w:iCs/>
        </w:rPr>
      </w:pPr>
    </w:p>
    <w:p w14:paraId="197B1041">
      <w:pPr>
        <w:pStyle w:val="85"/>
        <w:numPr>
          <w:ilvl w:val="0"/>
          <w:numId w:val="3"/>
        </w:numPr>
        <w:spacing w:line="320" w:lineRule="exact"/>
        <w:ind w:left="426" w:hanging="142" w:firstLineChars="0"/>
        <w:rPr>
          <w:i/>
          <w:iCs/>
        </w:rPr>
      </w:pPr>
      <w:r>
        <w:rPr>
          <w:i/>
          <w:iCs/>
        </w:rPr>
        <w:t>Implementation Rules on Policy Measures to Support the Development of Advanced Manufacturing Supply Chain</w:t>
      </w:r>
    </w:p>
    <w:p w14:paraId="16825597">
      <w:pPr>
        <w:pStyle w:val="85"/>
        <w:numPr>
          <w:ilvl w:val="0"/>
          <w:numId w:val="3"/>
        </w:numPr>
        <w:spacing w:line="320" w:lineRule="exact"/>
        <w:ind w:left="426" w:hanging="142" w:firstLineChars="0"/>
        <w:rPr>
          <w:i/>
          <w:iCs/>
        </w:rPr>
      </w:pPr>
      <w:r>
        <w:rPr>
          <w:i/>
          <w:iCs/>
        </w:rPr>
        <w:t>Fiscal Support Policy for Establishing a Hub of Advanced Manufacturing Industry of National Importance in Hunan Province</w:t>
      </w:r>
    </w:p>
    <w:p w14:paraId="26798A5B">
      <w:pPr>
        <w:adjustRightInd w:val="0"/>
        <w:snapToGrid w:val="0"/>
        <w:spacing w:beforeLines="50" w:afterLines="20"/>
        <w:jc w:val="center"/>
        <w:rPr>
          <w:rFonts w:ascii="Times New Roman" w:hAnsi="Times New Roman" w:eastAsia="仿宋" w:cs="Times New Roman"/>
          <w:sz w:val="18"/>
          <w:szCs w:val="16"/>
        </w:rPr>
      </w:pPr>
      <w:bookmarkStart w:id="105" w:name="_Hlk163756161"/>
      <w:r>
        <w:rPr>
          <w:rFonts w:ascii="Times New Roman" w:hAnsi="Times New Roman" w:eastAsia="仿宋" w:cs="Times New Roman"/>
          <w:sz w:val="18"/>
          <w:szCs w:val="20"/>
        </w:rPr>
        <w:t>Funds supporting the construction machinery industry</w:t>
      </w:r>
    </w:p>
    <w:bookmarkEnd w:id="105"/>
    <w:tbl>
      <w:tblPr>
        <w:tblStyle w:val="45"/>
        <w:tblW w:w="5000" w:type="pct"/>
        <w:jc w:val="center"/>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Layout w:type="autofit"/>
        <w:tblCellMar>
          <w:top w:w="0" w:type="dxa"/>
          <w:left w:w="108" w:type="dxa"/>
          <w:bottom w:w="0" w:type="dxa"/>
          <w:right w:w="108" w:type="dxa"/>
        </w:tblCellMar>
      </w:tblPr>
      <w:tblGrid>
        <w:gridCol w:w="395"/>
        <w:gridCol w:w="1255"/>
        <w:gridCol w:w="1714"/>
        <w:gridCol w:w="551"/>
        <w:gridCol w:w="747"/>
        <w:gridCol w:w="1785"/>
      </w:tblGrid>
      <w:tr w14:paraId="17E7FB63">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tblHeader/>
          <w:jc w:val="center"/>
        </w:trPr>
        <w:tc>
          <w:tcPr>
            <w:tcW w:w="307" w:type="pct"/>
            <w:vAlign w:val="center"/>
          </w:tcPr>
          <w:p w14:paraId="1C3259F3">
            <w:pPr>
              <w:adjustRightInd w:val="0"/>
              <w:snapToGrid w:val="0"/>
              <w:ind w:left="-105" w:leftChars="-50" w:right="-105" w:rightChars="-50"/>
              <w:jc w:val="center"/>
              <w:rPr>
                <w:rFonts w:ascii="Times New Roman" w:hAnsi="Times New Roman" w:eastAsia="仿宋" w:cs="Times New Roman"/>
                <w:b/>
                <w:bCs/>
                <w:kern w:val="0"/>
                <w:sz w:val="18"/>
                <w:szCs w:val="20"/>
              </w:rPr>
            </w:pPr>
            <w:r>
              <w:rPr>
                <w:rFonts w:ascii="Times New Roman" w:hAnsi="Times New Roman" w:eastAsia="仿宋" w:cs="Times New Roman"/>
                <w:b/>
                <w:bCs/>
                <w:kern w:val="0"/>
                <w:sz w:val="18"/>
                <w:szCs w:val="20"/>
              </w:rPr>
              <w:t>No.</w:t>
            </w:r>
          </w:p>
        </w:tc>
        <w:tc>
          <w:tcPr>
            <w:tcW w:w="974" w:type="pct"/>
            <w:vAlign w:val="center"/>
          </w:tcPr>
          <w:p w14:paraId="79019057">
            <w:pPr>
              <w:adjustRightInd w:val="0"/>
              <w:snapToGrid w:val="0"/>
              <w:ind w:left="-105" w:leftChars="-50" w:right="-105" w:rightChars="-50"/>
              <w:jc w:val="center"/>
              <w:rPr>
                <w:rFonts w:ascii="Times New Roman" w:hAnsi="Times New Roman" w:eastAsia="仿宋" w:cs="Times New Roman"/>
                <w:b/>
                <w:bCs/>
                <w:kern w:val="0"/>
                <w:sz w:val="18"/>
                <w:szCs w:val="20"/>
              </w:rPr>
            </w:pPr>
            <w:r>
              <w:rPr>
                <w:rFonts w:ascii="Times New Roman" w:hAnsi="Times New Roman" w:eastAsia="仿宋" w:cs="Times New Roman"/>
                <w:b/>
                <w:bCs/>
                <w:kern w:val="0"/>
                <w:sz w:val="18"/>
                <w:szCs w:val="20"/>
              </w:rPr>
              <w:t>Fund</w:t>
            </w:r>
          </w:p>
        </w:tc>
        <w:tc>
          <w:tcPr>
            <w:tcW w:w="1329" w:type="pct"/>
            <w:vAlign w:val="center"/>
          </w:tcPr>
          <w:p w14:paraId="4C822A45">
            <w:pPr>
              <w:adjustRightInd w:val="0"/>
              <w:snapToGrid w:val="0"/>
              <w:ind w:left="-105" w:leftChars="-50" w:right="-105" w:rightChars="-50"/>
              <w:jc w:val="center"/>
              <w:rPr>
                <w:rFonts w:ascii="Times New Roman" w:hAnsi="Times New Roman" w:eastAsia="仿宋" w:cs="Times New Roman"/>
                <w:b/>
                <w:bCs/>
                <w:kern w:val="0"/>
                <w:sz w:val="18"/>
                <w:szCs w:val="20"/>
              </w:rPr>
            </w:pPr>
            <w:r>
              <w:rPr>
                <w:rFonts w:ascii="Times New Roman" w:hAnsi="Times New Roman" w:eastAsia="仿宋" w:cs="Times New Roman"/>
                <w:b/>
                <w:bCs/>
                <w:kern w:val="0"/>
                <w:sz w:val="18"/>
                <w:szCs w:val="20"/>
              </w:rPr>
              <w:t>Sector</w:t>
            </w:r>
          </w:p>
        </w:tc>
        <w:tc>
          <w:tcPr>
            <w:tcW w:w="427" w:type="pct"/>
            <w:vAlign w:val="center"/>
          </w:tcPr>
          <w:p w14:paraId="3EF4A0B3">
            <w:pPr>
              <w:adjustRightInd w:val="0"/>
              <w:snapToGrid w:val="0"/>
              <w:ind w:left="-105" w:leftChars="-50" w:right="-105" w:rightChars="-50"/>
              <w:jc w:val="center"/>
              <w:rPr>
                <w:rFonts w:ascii="Times New Roman" w:hAnsi="Times New Roman" w:eastAsia="仿宋" w:cs="Times New Roman"/>
                <w:b/>
                <w:bCs/>
                <w:kern w:val="0"/>
                <w:sz w:val="18"/>
                <w:szCs w:val="20"/>
              </w:rPr>
            </w:pPr>
            <w:r>
              <w:rPr>
                <w:rFonts w:ascii="Times New Roman" w:hAnsi="Times New Roman" w:eastAsia="仿宋" w:cs="Times New Roman"/>
                <w:b/>
                <w:bCs/>
                <w:kern w:val="0"/>
                <w:sz w:val="18"/>
                <w:szCs w:val="20"/>
              </w:rPr>
              <w:t>Est. Time</w:t>
            </w:r>
          </w:p>
        </w:tc>
        <w:tc>
          <w:tcPr>
            <w:tcW w:w="579" w:type="pct"/>
            <w:vAlign w:val="center"/>
          </w:tcPr>
          <w:p w14:paraId="1393EB2E">
            <w:pPr>
              <w:adjustRightInd w:val="0"/>
              <w:snapToGrid w:val="0"/>
              <w:ind w:left="-105" w:leftChars="-50" w:right="-105" w:rightChars="-50"/>
              <w:jc w:val="center"/>
              <w:rPr>
                <w:rFonts w:ascii="Times New Roman" w:hAnsi="Times New Roman" w:eastAsia="仿宋" w:cs="Times New Roman"/>
                <w:b/>
                <w:bCs/>
                <w:kern w:val="0"/>
                <w:sz w:val="18"/>
                <w:szCs w:val="20"/>
              </w:rPr>
            </w:pPr>
            <w:r>
              <w:rPr>
                <w:rFonts w:ascii="Times New Roman" w:hAnsi="Times New Roman" w:eastAsia="仿宋" w:cs="Times New Roman"/>
                <w:b/>
                <w:bCs/>
                <w:kern w:val="0"/>
                <w:sz w:val="18"/>
                <w:szCs w:val="20"/>
              </w:rPr>
              <w:t>Scale (RMB)</w:t>
            </w:r>
          </w:p>
        </w:tc>
        <w:tc>
          <w:tcPr>
            <w:tcW w:w="1384" w:type="pct"/>
            <w:vAlign w:val="center"/>
          </w:tcPr>
          <w:p w14:paraId="170B2459">
            <w:pPr>
              <w:adjustRightInd w:val="0"/>
              <w:snapToGrid w:val="0"/>
              <w:ind w:left="-105" w:leftChars="-50" w:right="-105" w:rightChars="-50"/>
              <w:jc w:val="center"/>
              <w:rPr>
                <w:rFonts w:ascii="Times New Roman" w:hAnsi="Times New Roman" w:eastAsia="仿宋" w:cs="Times New Roman"/>
                <w:b/>
                <w:bCs/>
                <w:kern w:val="0"/>
                <w:sz w:val="18"/>
                <w:szCs w:val="20"/>
              </w:rPr>
            </w:pPr>
            <w:r>
              <w:rPr>
                <w:rFonts w:ascii="Times New Roman" w:hAnsi="Times New Roman" w:eastAsia="仿宋" w:cs="Times New Roman"/>
                <w:b/>
                <w:bCs/>
                <w:kern w:val="0"/>
                <w:sz w:val="18"/>
                <w:szCs w:val="20"/>
              </w:rPr>
              <w:t>Remarks</w:t>
            </w:r>
          </w:p>
        </w:tc>
      </w:tr>
      <w:tr w14:paraId="3426F311">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1011" w:hRule="atLeast"/>
          <w:jc w:val="center"/>
        </w:trPr>
        <w:tc>
          <w:tcPr>
            <w:tcW w:w="307" w:type="pct"/>
            <w:shd w:val="clear" w:color="auto" w:fill="EAF1DD"/>
            <w:vAlign w:val="center"/>
          </w:tcPr>
          <w:p w14:paraId="2A80B773">
            <w:pPr>
              <w:adjustRightInd w:val="0"/>
              <w:snapToGrid w:val="0"/>
              <w:ind w:left="-105" w:leftChars="-50" w:right="-105" w:rightChars="-50"/>
              <w:jc w:val="center"/>
              <w:rPr>
                <w:rFonts w:ascii="Times New Roman" w:hAnsi="Times New Roman" w:eastAsia="仿宋" w:cs="Times New Roman"/>
                <w:b w:val="0"/>
                <w:bCs w:val="0"/>
                <w:kern w:val="0"/>
                <w:sz w:val="18"/>
                <w:szCs w:val="20"/>
              </w:rPr>
            </w:pPr>
            <w:r>
              <w:rPr>
                <w:rFonts w:ascii="Times New Roman" w:hAnsi="Times New Roman" w:eastAsia="仿宋" w:cs="Times New Roman"/>
                <w:b w:val="0"/>
                <w:bCs w:val="0"/>
                <w:kern w:val="0"/>
                <w:sz w:val="18"/>
                <w:szCs w:val="20"/>
              </w:rPr>
              <w:t>1</w:t>
            </w:r>
          </w:p>
        </w:tc>
        <w:tc>
          <w:tcPr>
            <w:tcW w:w="974" w:type="pct"/>
            <w:shd w:val="clear" w:color="auto" w:fill="EAF1DD"/>
            <w:vAlign w:val="center"/>
          </w:tcPr>
          <w:p w14:paraId="2E1A2D68">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Changsha Industrial Development Fund of Funds (FOF)</w:t>
            </w:r>
          </w:p>
        </w:tc>
        <w:tc>
          <w:tcPr>
            <w:tcW w:w="1329" w:type="pct"/>
            <w:shd w:val="clear" w:color="auto" w:fill="EAF1DD"/>
            <w:vAlign w:val="center"/>
          </w:tcPr>
          <w:p w14:paraId="1AFECAF3">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Changsha’s 22 industrial and emerging advantageous industrial chains and “1+2+N” advanced manufacturing clusters, including engineering machinery and other sectors.</w:t>
            </w:r>
          </w:p>
        </w:tc>
        <w:tc>
          <w:tcPr>
            <w:tcW w:w="427" w:type="pct"/>
            <w:shd w:val="clear" w:color="auto" w:fill="EAF1DD"/>
            <w:vAlign w:val="center"/>
          </w:tcPr>
          <w:p w14:paraId="06F167CD">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2023</w:t>
            </w:r>
          </w:p>
        </w:tc>
        <w:tc>
          <w:tcPr>
            <w:tcW w:w="579" w:type="pct"/>
            <w:shd w:val="clear" w:color="auto" w:fill="EAF1DD"/>
            <w:vAlign w:val="center"/>
          </w:tcPr>
          <w:p w14:paraId="2C0E3ADA">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30 billion</w:t>
            </w:r>
          </w:p>
        </w:tc>
        <w:tc>
          <w:tcPr>
            <w:tcW w:w="1384" w:type="pct"/>
            <w:shd w:val="clear" w:color="auto" w:fill="EAF1DD"/>
            <w:vAlign w:val="center"/>
          </w:tcPr>
          <w:p w14:paraId="27F930F9">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Established under the leadership of Changsha Investment Holding Group</w:t>
            </w:r>
          </w:p>
        </w:tc>
      </w:tr>
      <w:tr w14:paraId="69C459D7">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1583" w:hRule="atLeast"/>
          <w:jc w:val="center"/>
        </w:trPr>
        <w:tc>
          <w:tcPr>
            <w:tcW w:w="307" w:type="pct"/>
            <w:vAlign w:val="center"/>
          </w:tcPr>
          <w:p w14:paraId="6C3B4AC6">
            <w:pPr>
              <w:adjustRightInd w:val="0"/>
              <w:snapToGrid w:val="0"/>
              <w:ind w:left="-105" w:leftChars="-50" w:right="-105" w:rightChars="-50"/>
              <w:jc w:val="center"/>
              <w:rPr>
                <w:rFonts w:ascii="Times New Roman" w:hAnsi="Times New Roman" w:eastAsia="仿宋" w:cs="Times New Roman"/>
                <w:b w:val="0"/>
                <w:bCs w:val="0"/>
                <w:kern w:val="0"/>
                <w:sz w:val="18"/>
                <w:szCs w:val="20"/>
              </w:rPr>
            </w:pPr>
            <w:r>
              <w:rPr>
                <w:rFonts w:ascii="Times New Roman" w:hAnsi="Times New Roman" w:eastAsia="仿宋" w:cs="Times New Roman"/>
                <w:b w:val="0"/>
                <w:bCs w:val="0"/>
                <w:kern w:val="0"/>
                <w:sz w:val="18"/>
                <w:szCs w:val="20"/>
              </w:rPr>
              <w:t>2</w:t>
            </w:r>
          </w:p>
        </w:tc>
        <w:tc>
          <w:tcPr>
            <w:tcW w:w="974" w:type="pct"/>
            <w:vAlign w:val="center"/>
          </w:tcPr>
          <w:p w14:paraId="5E716285">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Yueyang City Caijin Taiyou Industrial Investment Fund</w:t>
            </w:r>
          </w:p>
        </w:tc>
        <w:tc>
          <w:tcPr>
            <w:tcW w:w="1329" w:type="pct"/>
            <w:vAlign w:val="center"/>
          </w:tcPr>
          <w:p w14:paraId="63C97B63">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equipment manufacturing, power and energy, etc.</w:t>
            </w:r>
          </w:p>
        </w:tc>
        <w:tc>
          <w:tcPr>
            <w:tcW w:w="427" w:type="pct"/>
            <w:vAlign w:val="center"/>
          </w:tcPr>
          <w:p w14:paraId="7F47E127">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2021</w:t>
            </w:r>
          </w:p>
        </w:tc>
        <w:tc>
          <w:tcPr>
            <w:tcW w:w="579" w:type="pct"/>
            <w:vAlign w:val="center"/>
          </w:tcPr>
          <w:p w14:paraId="74BADFF2">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Phase Ⅰ: 500 million</w:t>
            </w:r>
          </w:p>
        </w:tc>
        <w:tc>
          <w:tcPr>
            <w:tcW w:w="1384" w:type="pct"/>
            <w:vAlign w:val="center"/>
          </w:tcPr>
          <w:p w14:paraId="3D1E776B">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Jointly established by stakeholders including Yueyang Caijin High-tech Industrial Investment and Yueyang Construction and Investment Group</w:t>
            </w:r>
          </w:p>
        </w:tc>
      </w:tr>
      <w:tr w14:paraId="725B7892">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1393" w:hRule="atLeast"/>
          <w:jc w:val="center"/>
        </w:trPr>
        <w:tc>
          <w:tcPr>
            <w:tcW w:w="307" w:type="pct"/>
            <w:shd w:val="clear" w:color="auto" w:fill="EAF1DD"/>
            <w:vAlign w:val="center"/>
          </w:tcPr>
          <w:p w14:paraId="6B6EF067">
            <w:pPr>
              <w:adjustRightInd w:val="0"/>
              <w:snapToGrid w:val="0"/>
              <w:ind w:left="-105" w:leftChars="-50" w:right="-105" w:rightChars="-50"/>
              <w:jc w:val="center"/>
              <w:rPr>
                <w:rFonts w:ascii="Times New Roman" w:hAnsi="Times New Roman" w:eastAsia="仿宋" w:cs="Times New Roman"/>
                <w:b w:val="0"/>
                <w:bCs w:val="0"/>
                <w:kern w:val="0"/>
                <w:sz w:val="18"/>
                <w:szCs w:val="20"/>
              </w:rPr>
            </w:pPr>
            <w:r>
              <w:rPr>
                <w:rFonts w:ascii="Times New Roman" w:hAnsi="Times New Roman" w:eastAsia="仿宋" w:cs="Times New Roman"/>
                <w:b w:val="0"/>
                <w:bCs w:val="0"/>
                <w:kern w:val="0"/>
                <w:sz w:val="18"/>
                <w:szCs w:val="20"/>
              </w:rPr>
              <w:t>3</w:t>
            </w:r>
          </w:p>
        </w:tc>
        <w:tc>
          <w:tcPr>
            <w:tcW w:w="974" w:type="pct"/>
            <w:shd w:val="clear" w:color="auto" w:fill="EAF1DD"/>
            <w:vAlign w:val="center"/>
          </w:tcPr>
          <w:p w14:paraId="125E2863">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Valin Industrial Investment Fund</w:t>
            </w:r>
          </w:p>
        </w:tc>
        <w:tc>
          <w:tcPr>
            <w:tcW w:w="1329" w:type="pct"/>
            <w:shd w:val="clear" w:color="auto" w:fill="EAF1DD"/>
            <w:vAlign w:val="center"/>
          </w:tcPr>
          <w:p w14:paraId="68B1CC92">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Steel deep processing, high-end equipment manufacturing and other related industries.</w:t>
            </w:r>
          </w:p>
        </w:tc>
        <w:tc>
          <w:tcPr>
            <w:tcW w:w="427" w:type="pct"/>
            <w:shd w:val="clear" w:color="auto" w:fill="EAF1DD"/>
            <w:vAlign w:val="center"/>
          </w:tcPr>
          <w:p w14:paraId="734CB85B">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2019</w:t>
            </w:r>
          </w:p>
        </w:tc>
        <w:tc>
          <w:tcPr>
            <w:tcW w:w="579" w:type="pct"/>
            <w:shd w:val="clear" w:color="auto" w:fill="EAF1DD"/>
            <w:vAlign w:val="center"/>
          </w:tcPr>
          <w:p w14:paraId="3B885D03">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3 billion; phase Ⅰ: 600 million</w:t>
            </w:r>
          </w:p>
        </w:tc>
        <w:tc>
          <w:tcPr>
            <w:tcW w:w="1384" w:type="pct"/>
            <w:shd w:val="clear" w:color="auto" w:fill="EAF1DD"/>
            <w:vAlign w:val="center"/>
          </w:tcPr>
          <w:p w14:paraId="2FC25A5E">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Jointly funded by Valin Jinshan, Loudi Entrepreneurship Development Group, and Valin Lianyuan Iron &amp; Steel</w:t>
            </w:r>
          </w:p>
        </w:tc>
      </w:tr>
      <w:tr w14:paraId="3E21DBCC">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jc w:val="center"/>
        </w:trPr>
        <w:tc>
          <w:tcPr>
            <w:tcW w:w="307" w:type="pct"/>
            <w:vAlign w:val="center"/>
          </w:tcPr>
          <w:p w14:paraId="6960C44A">
            <w:pPr>
              <w:adjustRightInd w:val="0"/>
              <w:snapToGrid w:val="0"/>
              <w:ind w:left="-105" w:leftChars="-50" w:right="-105" w:rightChars="-50"/>
              <w:jc w:val="center"/>
              <w:rPr>
                <w:rFonts w:ascii="Times New Roman" w:hAnsi="Times New Roman" w:eastAsia="仿宋" w:cs="Times New Roman"/>
                <w:b w:val="0"/>
                <w:bCs w:val="0"/>
                <w:kern w:val="0"/>
                <w:sz w:val="18"/>
                <w:szCs w:val="20"/>
              </w:rPr>
            </w:pPr>
            <w:r>
              <w:rPr>
                <w:rFonts w:ascii="Times New Roman" w:hAnsi="Times New Roman" w:eastAsia="仿宋" w:cs="Times New Roman"/>
                <w:b w:val="0"/>
                <w:bCs w:val="0"/>
                <w:kern w:val="0"/>
                <w:sz w:val="18"/>
                <w:szCs w:val="20"/>
              </w:rPr>
              <w:t>4</w:t>
            </w:r>
          </w:p>
        </w:tc>
        <w:tc>
          <w:tcPr>
            <w:tcW w:w="974" w:type="pct"/>
            <w:vAlign w:val="center"/>
          </w:tcPr>
          <w:p w14:paraId="025F9200">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Hengyang Industrial Investment Fund</w:t>
            </w:r>
          </w:p>
        </w:tc>
        <w:tc>
          <w:tcPr>
            <w:tcW w:w="1329" w:type="pct"/>
            <w:vAlign w:val="center"/>
          </w:tcPr>
          <w:p w14:paraId="56EFEC7F">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Agricultural equipment, power equipment, etc.</w:t>
            </w:r>
          </w:p>
        </w:tc>
        <w:tc>
          <w:tcPr>
            <w:tcW w:w="427" w:type="pct"/>
            <w:vAlign w:val="center"/>
          </w:tcPr>
          <w:p w14:paraId="44CF17D0">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2018</w:t>
            </w:r>
          </w:p>
        </w:tc>
        <w:tc>
          <w:tcPr>
            <w:tcW w:w="579" w:type="pct"/>
            <w:vAlign w:val="center"/>
          </w:tcPr>
          <w:p w14:paraId="2C1A5336">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6 billion +</w:t>
            </w:r>
          </w:p>
        </w:tc>
        <w:tc>
          <w:tcPr>
            <w:tcW w:w="1384" w:type="pct"/>
            <w:vAlign w:val="center"/>
          </w:tcPr>
          <w:p w14:paraId="2C8C426E">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The government has contributed 1.5 billion yuan as an industrial guiding fund and set up sub-funds through cooperation with other social capitals.</w:t>
            </w:r>
          </w:p>
        </w:tc>
      </w:tr>
      <w:tr w14:paraId="222D8425">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jc w:val="center"/>
        </w:trPr>
        <w:tc>
          <w:tcPr>
            <w:tcW w:w="307" w:type="pct"/>
            <w:shd w:val="clear" w:color="auto" w:fill="EAF1DD"/>
            <w:vAlign w:val="center"/>
          </w:tcPr>
          <w:p w14:paraId="4E6B457F">
            <w:pPr>
              <w:adjustRightInd w:val="0"/>
              <w:snapToGrid w:val="0"/>
              <w:ind w:left="-105" w:leftChars="-50" w:right="-105" w:rightChars="-50"/>
              <w:jc w:val="center"/>
              <w:rPr>
                <w:rFonts w:ascii="Times New Roman" w:hAnsi="Times New Roman" w:eastAsia="仿宋" w:cs="Times New Roman"/>
                <w:b w:val="0"/>
                <w:bCs w:val="0"/>
                <w:kern w:val="0"/>
                <w:sz w:val="18"/>
                <w:szCs w:val="20"/>
              </w:rPr>
            </w:pPr>
            <w:r>
              <w:rPr>
                <w:rFonts w:ascii="Times New Roman" w:hAnsi="Times New Roman" w:eastAsia="仿宋" w:cs="Times New Roman"/>
                <w:b w:val="0"/>
                <w:bCs w:val="0"/>
                <w:kern w:val="0"/>
                <w:sz w:val="18"/>
                <w:szCs w:val="20"/>
              </w:rPr>
              <w:t>5</w:t>
            </w:r>
          </w:p>
        </w:tc>
        <w:tc>
          <w:tcPr>
            <w:tcW w:w="974" w:type="pct"/>
            <w:shd w:val="clear" w:color="auto" w:fill="EAF1DD"/>
            <w:vAlign w:val="center"/>
          </w:tcPr>
          <w:p w14:paraId="25D57CFF">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Xiangtan Industrial Quality Development Guidance Fund</w:t>
            </w:r>
          </w:p>
        </w:tc>
        <w:tc>
          <w:tcPr>
            <w:tcW w:w="1329" w:type="pct"/>
            <w:shd w:val="clear" w:color="auto" w:fill="EAF1DD"/>
            <w:vAlign w:val="center"/>
          </w:tcPr>
          <w:p w14:paraId="1F8AC55E">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Mining equipment and other industries.</w:t>
            </w:r>
          </w:p>
        </w:tc>
        <w:tc>
          <w:tcPr>
            <w:tcW w:w="427" w:type="pct"/>
            <w:shd w:val="clear" w:color="auto" w:fill="EAF1DD"/>
            <w:vAlign w:val="center"/>
          </w:tcPr>
          <w:p w14:paraId="7BCE86FA">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2018</w:t>
            </w:r>
          </w:p>
        </w:tc>
        <w:tc>
          <w:tcPr>
            <w:tcW w:w="579" w:type="pct"/>
            <w:shd w:val="clear" w:color="auto" w:fill="EAF1DD"/>
            <w:vAlign w:val="center"/>
          </w:tcPr>
          <w:p w14:paraId="252C41E9">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2 billion</w:t>
            </w:r>
          </w:p>
          <w:p w14:paraId="24180EE5">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phase Ⅰ: 400 million</w:t>
            </w:r>
          </w:p>
        </w:tc>
        <w:tc>
          <w:tcPr>
            <w:tcW w:w="1384" w:type="pct"/>
            <w:shd w:val="clear" w:color="auto" w:fill="EAF1DD"/>
            <w:vAlign w:val="center"/>
          </w:tcPr>
          <w:p w14:paraId="35548C27">
            <w:pPr>
              <w:adjustRightInd w:val="0"/>
              <w:snapToGrid w:val="0"/>
              <w:ind w:left="-105" w:leftChars="-50" w:right="-105" w:rightChars="-50"/>
              <w:jc w:val="center"/>
              <w:rPr>
                <w:rFonts w:ascii="Times New Roman" w:hAnsi="Times New Roman" w:eastAsia="仿宋" w:cs="Times New Roman"/>
                <w:kern w:val="0"/>
                <w:sz w:val="18"/>
                <w:szCs w:val="20"/>
              </w:rPr>
            </w:pPr>
            <w:r>
              <w:rPr>
                <w:rFonts w:ascii="Times New Roman" w:hAnsi="Times New Roman" w:eastAsia="仿宋" w:cs="Times New Roman"/>
                <w:kern w:val="0"/>
                <w:sz w:val="18"/>
                <w:szCs w:val="20"/>
              </w:rPr>
              <w:t>Jointly funded and established by Xiangtan Municipal Finance Bureau, Xiangtan Industrial Investment Development Group</w:t>
            </w:r>
          </w:p>
        </w:tc>
      </w:tr>
    </w:tbl>
    <w:p w14:paraId="494FE684">
      <w:pPr>
        <w:widowControl/>
        <w:rPr>
          <w:rFonts w:ascii="Times New Roman" w:hAnsi="Times New Roman" w:eastAsia="仿宋" w:cs="Times New Roman"/>
          <w:sz w:val="20"/>
          <w:szCs w:val="20"/>
        </w:rPr>
      </w:pPr>
    </w:p>
    <w:p w14:paraId="40CEF488">
      <w:pPr>
        <w:keepNext/>
        <w:snapToGrid w:val="0"/>
        <w:spacing w:line="360" w:lineRule="exact"/>
        <w:ind w:firstLine="442" w:firstLineChars="200"/>
        <w:outlineLvl w:val="2"/>
        <w:rPr>
          <w:rFonts w:ascii="Times New Roman" w:hAnsi="Times New Roman" w:eastAsia="黑体" w:cs="Times New Roman"/>
          <w:b/>
          <w:sz w:val="22"/>
          <w:szCs w:val="24"/>
        </w:rPr>
      </w:pPr>
      <w:bookmarkStart w:id="106" w:name="_Toc163910322"/>
      <w:r>
        <w:rPr>
          <w:rFonts w:ascii="Times New Roman" w:hAnsi="Times New Roman" w:eastAsia="黑体" w:cs="Times New Roman"/>
          <w:b/>
          <w:sz w:val="22"/>
          <w:szCs w:val="24"/>
        </w:rPr>
        <w:t>(4) Investment O</w:t>
      </w:r>
      <w:r>
        <w:rPr>
          <w:rFonts w:hint="eastAsia" w:ascii="Times New Roman" w:hAnsi="Times New Roman" w:eastAsia="黑体" w:cs="Times New Roman"/>
          <w:b/>
          <w:sz w:val="22"/>
          <w:szCs w:val="24"/>
        </w:rPr>
        <w:t>rientation</w:t>
      </w:r>
      <w:r>
        <w:rPr>
          <w:rFonts w:ascii="Times New Roman" w:hAnsi="Times New Roman" w:eastAsia="黑体" w:cs="Times New Roman"/>
          <w:b/>
          <w:sz w:val="22"/>
          <w:szCs w:val="24"/>
        </w:rPr>
        <w:t xml:space="preserve"> and Industrial Layout</w:t>
      </w:r>
      <w:bookmarkEnd w:id="106"/>
    </w:p>
    <w:p w14:paraId="74853875">
      <w:pPr>
        <w:snapToGrid w:val="0"/>
        <w:spacing w:line="360" w:lineRule="exact"/>
        <w:ind w:firstLine="442" w:firstLineChars="200"/>
        <w:rPr>
          <w:rFonts w:ascii="Times New Roman" w:hAnsi="Times New Roman" w:eastAsia="黑体" w:cs="Times New Roman"/>
          <w:bCs/>
          <w:sz w:val="22"/>
          <w:szCs w:val="24"/>
        </w:rPr>
      </w:pPr>
      <w:bookmarkStart w:id="107" w:name="_Hlk163835355"/>
      <w:r>
        <w:rPr>
          <w:rFonts w:ascii="Times New Roman" w:hAnsi="Times New Roman" w:eastAsia="黑体" w:cs="Times New Roman"/>
          <w:b/>
          <w:sz w:val="22"/>
          <w:szCs w:val="24"/>
        </w:rPr>
        <w:t>Special construction machinery</w:t>
      </w:r>
      <w:bookmarkEnd w:id="107"/>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Changsha ETDZ, Changde HTZ, and Loudi HTZ, with a focus on the construction machinery, we aim to attract enterprises engaged in electrification, intelligence, and high-end concrete machinery, excavating machinery, lifting machinery, pile machinery, aerial work machinery, and underground construction machinery; with a focus on the mining machinery industry, we aim to attract enterprises specializing in open-pit mining equipment, crushing and screening equipment, and material handling equipment; in the emergency rescue machinery industry, we aim to attract enterprises engaged in next-generation fire trucks, drainage vehicles, rescue robots, etc.; with a focus on the sanitation machinery industry, we aim to attract enterprises specializing in road sweepers, cleaning and vacuum trucks, water spraying and dust suppression trucks, garbage trucks, etc. </w:t>
      </w:r>
    </w:p>
    <w:p w14:paraId="70840D88">
      <w:pPr>
        <w:snapToGrid w:val="0"/>
        <w:spacing w:line="360" w:lineRule="exact"/>
        <w:ind w:firstLine="442" w:firstLineChars="200"/>
        <w:rPr>
          <w:rFonts w:hint="eastAsia" w:ascii="Times New Roman" w:hAnsi="Times New Roman" w:eastAsia="黑体" w:cs="Times New Roman"/>
          <w:bCs/>
          <w:sz w:val="22"/>
          <w:szCs w:val="24"/>
        </w:rPr>
      </w:pPr>
      <w:bookmarkStart w:id="108" w:name="_Hlk163835365"/>
      <w:r>
        <w:rPr>
          <w:rFonts w:ascii="Times New Roman" w:hAnsi="Times New Roman" w:eastAsia="黑体" w:cs="Times New Roman"/>
          <w:b/>
          <w:sz w:val="22"/>
          <w:szCs w:val="24"/>
        </w:rPr>
        <w:t>Special agricultural equipment</w:t>
      </w:r>
      <w:bookmarkEnd w:id="108"/>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Shuangfeng HTZ, Changde HTZ, and Chenzhou HTZ, we aim to attract enterprises engaged in smart agricultural machinery, including lightweight crawler tractors, crawler rotary tillers, rice seedling planters, and </w:t>
      </w:r>
      <w:r>
        <w:rPr>
          <w:rFonts w:hint="eastAsia" w:ascii="Times New Roman" w:hAnsi="Times New Roman" w:eastAsia="黑体" w:cs="Times New Roman"/>
          <w:bCs/>
          <w:sz w:val="22"/>
          <w:szCs w:val="24"/>
        </w:rPr>
        <w:t>medium-sized and regenerative rice combine harvesters, small combined rice mills, cotton pickers, as well as tea and fruit harvesting machinery, and factory farming and processing machinery for livestock, poultry, and aquatic products.</w:t>
      </w:r>
    </w:p>
    <w:p w14:paraId="3C4AA02E">
      <w:pPr>
        <w:snapToGrid w:val="0"/>
        <w:spacing w:line="360" w:lineRule="exact"/>
        <w:ind w:firstLine="440" w:firstLineChars="200"/>
        <w:rPr>
          <w:rFonts w:hint="eastAsia" w:ascii="Times New Roman" w:hAnsi="Times New Roman" w:eastAsia="黑体" w:cs="Times New Roman"/>
          <w:bCs/>
          <w:sz w:val="22"/>
          <w:szCs w:val="24"/>
        </w:rPr>
      </w:pPr>
      <w:r>
        <w:rPr>
          <w:rFonts w:hint="eastAsia" w:ascii="Times New Roman" w:hAnsi="Times New Roman" w:eastAsia="黑体" w:cs="Times New Roman"/>
          <w:bCs/>
          <w:sz w:val="22"/>
          <w:szCs w:val="24"/>
        </w:rPr>
        <w:t>Parts &amp; components. Based on Zhuzhou HTZ, Shaoyang ETDZ, and Loudi ETDZ, we aim to attract suppliers of key component, including precision castings and forgings, hydraulic cylinders, high torque hydraulic brakes, ultra-high strength steel, large-diameter precision bearings, high-pressure plunger pumps, etc.</w:t>
      </w:r>
    </w:p>
    <w:p w14:paraId="7B0A8CA5">
      <w:pPr>
        <w:snapToGrid w:val="0"/>
        <w:spacing w:line="360" w:lineRule="exact"/>
        <w:ind w:firstLine="440" w:firstLineChars="200"/>
        <w:rPr>
          <w:rFonts w:hint="eastAsia" w:ascii="Times New Roman" w:hAnsi="Times New Roman" w:eastAsia="黑体" w:cs="Times New Roman"/>
          <w:bCs/>
          <w:sz w:val="22"/>
          <w:szCs w:val="24"/>
        </w:rPr>
      </w:pPr>
    </w:p>
    <w:p w14:paraId="0AEF7D4C">
      <w:pPr>
        <w:snapToGrid w:val="0"/>
        <w:spacing w:line="360" w:lineRule="exact"/>
        <w:ind w:firstLine="440" w:firstLineChars="200"/>
        <w:rPr>
          <w:rFonts w:hint="eastAsia" w:ascii="Times New Roman" w:hAnsi="Times New Roman" w:eastAsia="黑体" w:cs="Times New Roman"/>
          <w:bCs/>
          <w:sz w:val="22"/>
          <w:szCs w:val="24"/>
        </w:rPr>
      </w:pPr>
    </w:p>
    <w:p w14:paraId="28D54889">
      <w:pPr>
        <w:snapToGrid w:val="0"/>
        <w:spacing w:line="360" w:lineRule="exact"/>
        <w:ind w:firstLine="440" w:firstLineChars="200"/>
        <w:rPr>
          <w:rFonts w:hint="eastAsia" w:ascii="Times New Roman" w:hAnsi="Times New Roman" w:eastAsia="黑体" w:cs="Times New Roman"/>
          <w:bCs/>
          <w:sz w:val="22"/>
          <w:szCs w:val="24"/>
        </w:rPr>
      </w:pPr>
    </w:p>
    <w:p w14:paraId="4D70AD88">
      <w:pPr>
        <w:snapToGrid w:val="0"/>
        <w:spacing w:line="360" w:lineRule="exact"/>
        <w:ind w:firstLine="440" w:firstLineChars="200"/>
        <w:rPr>
          <w:rFonts w:hint="eastAsia" w:ascii="Times New Roman" w:hAnsi="Times New Roman" w:eastAsia="黑体" w:cs="Times New Roman"/>
          <w:bCs/>
          <w:sz w:val="22"/>
          <w:szCs w:val="24"/>
        </w:rPr>
      </w:pPr>
    </w:p>
    <w:p w14:paraId="3636DB6C">
      <w:pPr>
        <w:snapToGrid w:val="0"/>
        <w:spacing w:line="360" w:lineRule="exact"/>
        <w:ind w:firstLine="440" w:firstLineChars="200"/>
        <w:rPr>
          <w:rFonts w:hint="eastAsia" w:ascii="Times New Roman" w:hAnsi="Times New Roman" w:eastAsia="黑体" w:cs="Times New Roman"/>
          <w:bCs/>
          <w:sz w:val="22"/>
          <w:szCs w:val="24"/>
        </w:rPr>
      </w:pPr>
    </w:p>
    <w:p w14:paraId="143829C6">
      <w:pPr>
        <w:snapToGrid w:val="0"/>
        <w:spacing w:line="360" w:lineRule="exact"/>
        <w:ind w:firstLine="440" w:firstLineChars="200"/>
        <w:rPr>
          <w:rFonts w:hint="eastAsia" w:ascii="Times New Roman" w:hAnsi="Times New Roman" w:eastAsia="黑体" w:cs="Times New Roman"/>
          <w:bCs/>
          <w:sz w:val="22"/>
          <w:szCs w:val="24"/>
        </w:rPr>
      </w:pPr>
    </w:p>
    <w:p w14:paraId="56BAEE70">
      <w:pPr>
        <w:snapToGrid w:val="0"/>
        <w:jc w:val="center"/>
      </w:pPr>
    </w:p>
    <w:p w14:paraId="2EB0D402">
      <w:pPr>
        <w:snapToGrid w:val="0"/>
        <w:jc w:val="center"/>
      </w:pPr>
    </w:p>
    <w:p w14:paraId="6EF041BD">
      <w:pPr>
        <w:snapToGrid w:val="0"/>
        <w:jc w:val="center"/>
      </w:pPr>
    </w:p>
    <w:p w14:paraId="7BD1AC88">
      <w:pPr>
        <w:snapToGrid w:val="0"/>
        <w:jc w:val="center"/>
      </w:pPr>
    </w:p>
    <w:p w14:paraId="0CFBBAC7">
      <w:pPr>
        <w:snapToGrid w:val="0"/>
        <w:jc w:val="center"/>
      </w:pPr>
    </w:p>
    <w:p w14:paraId="0D56523A">
      <w:pPr>
        <w:snapToGrid w:val="0"/>
        <w:jc w:val="center"/>
      </w:pPr>
      <w:r>
        <w:rPr>
          <w:rFonts w:hint="eastAsia"/>
        </w:rPr>
        <w:drawing>
          <wp:anchor distT="0" distB="0" distL="114300" distR="114300" simplePos="0" relativeHeight="251699200" behindDoc="0" locked="0" layoutInCell="1" allowOverlap="1">
            <wp:simplePos x="0" y="0"/>
            <wp:positionH relativeFrom="column">
              <wp:posOffset>-781050</wp:posOffset>
            </wp:positionH>
            <wp:positionV relativeFrom="paragraph">
              <wp:posOffset>27940</wp:posOffset>
            </wp:positionV>
            <wp:extent cx="5638800" cy="3282950"/>
            <wp:effectExtent l="0" t="1181100" r="0" b="1155700"/>
            <wp:wrapNone/>
            <wp:docPr id="1182733220" name="图片 118273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20" name="图片 11827332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rot="16200000">
                      <a:off x="0" y="0"/>
                      <a:ext cx="5638800" cy="3282950"/>
                    </a:xfrm>
                    <a:prstGeom prst="rect">
                      <a:avLst/>
                    </a:prstGeom>
                    <a:noFill/>
                    <a:ln>
                      <a:noFill/>
                    </a:ln>
                  </pic:spPr>
                </pic:pic>
              </a:graphicData>
            </a:graphic>
          </wp:anchor>
        </w:drawing>
      </w:r>
    </w:p>
    <w:p w14:paraId="0F20E038">
      <w:pPr>
        <w:snapToGrid w:val="0"/>
        <w:jc w:val="center"/>
      </w:pPr>
    </w:p>
    <w:p w14:paraId="24002179">
      <w:pPr>
        <w:snapToGrid w:val="0"/>
        <w:jc w:val="center"/>
      </w:pPr>
    </w:p>
    <w:p w14:paraId="2CA40137">
      <w:pPr>
        <w:snapToGrid w:val="0"/>
        <w:jc w:val="center"/>
      </w:pPr>
    </w:p>
    <w:p w14:paraId="711EC381">
      <w:pPr>
        <w:snapToGrid w:val="0"/>
        <w:jc w:val="center"/>
      </w:pPr>
    </w:p>
    <w:p w14:paraId="71128E84">
      <w:pPr>
        <w:snapToGrid w:val="0"/>
        <w:jc w:val="center"/>
      </w:pPr>
    </w:p>
    <w:p w14:paraId="19684543">
      <w:pPr>
        <w:snapToGrid w:val="0"/>
        <w:jc w:val="center"/>
      </w:pPr>
    </w:p>
    <w:p w14:paraId="6BA422F9">
      <w:pPr>
        <w:snapToGrid w:val="0"/>
        <w:jc w:val="center"/>
      </w:pPr>
    </w:p>
    <w:p w14:paraId="442E12EF">
      <w:pPr>
        <w:snapToGrid w:val="0"/>
        <w:jc w:val="center"/>
      </w:pPr>
    </w:p>
    <w:p w14:paraId="07545849">
      <w:pPr>
        <w:snapToGrid w:val="0"/>
        <w:jc w:val="center"/>
      </w:pPr>
    </w:p>
    <w:p w14:paraId="2F84B515">
      <w:pPr>
        <w:snapToGrid w:val="0"/>
        <w:jc w:val="center"/>
      </w:pPr>
    </w:p>
    <w:p w14:paraId="503CBDAD">
      <w:pPr>
        <w:snapToGrid w:val="0"/>
        <w:jc w:val="center"/>
      </w:pPr>
    </w:p>
    <w:p w14:paraId="17F52F38">
      <w:pPr>
        <w:snapToGrid w:val="0"/>
        <w:jc w:val="center"/>
      </w:pPr>
    </w:p>
    <w:p w14:paraId="3F167F65">
      <w:pPr>
        <w:snapToGrid w:val="0"/>
        <w:jc w:val="center"/>
      </w:pPr>
    </w:p>
    <w:p w14:paraId="1480125A">
      <w:pPr>
        <w:snapToGrid w:val="0"/>
        <w:jc w:val="center"/>
      </w:pPr>
    </w:p>
    <w:p w14:paraId="524861E5">
      <w:pPr>
        <w:snapToGrid w:val="0"/>
        <w:jc w:val="center"/>
      </w:pPr>
    </w:p>
    <w:p w14:paraId="33ADD966">
      <w:pPr>
        <w:snapToGrid w:val="0"/>
        <w:jc w:val="center"/>
      </w:pPr>
    </w:p>
    <w:p w14:paraId="44804ECA">
      <w:pPr>
        <w:snapToGrid w:val="0"/>
        <w:jc w:val="center"/>
      </w:pPr>
    </w:p>
    <w:p w14:paraId="162B3E2F">
      <w:pPr>
        <w:snapToGrid w:val="0"/>
        <w:jc w:val="center"/>
      </w:pPr>
    </w:p>
    <w:p w14:paraId="6ECD8ADB">
      <w:pPr>
        <w:snapToGrid w:val="0"/>
        <w:jc w:val="center"/>
        <w:rPr>
          <w:rFonts w:ascii="Times New Roman" w:hAnsi="Times New Roman" w:eastAsia="黑体" w:cs="Times New Roman"/>
          <w:bCs/>
          <w:sz w:val="22"/>
          <w:szCs w:val="24"/>
        </w:rPr>
      </w:pPr>
    </w:p>
    <w:p w14:paraId="0423B834">
      <w:pPr>
        <w:snapToGrid w:val="0"/>
        <w:spacing w:line="360" w:lineRule="exact"/>
        <w:ind w:firstLine="400" w:firstLineChars="200"/>
        <w:rPr>
          <w:rFonts w:ascii="Times New Roman" w:hAnsi="Times New Roman" w:eastAsia="仿宋" w:cs="Times New Roman"/>
          <w:sz w:val="20"/>
          <w:szCs w:val="20"/>
        </w:rPr>
      </w:pPr>
    </w:p>
    <w:p w14:paraId="113B9FDB">
      <w:pPr>
        <w:snapToGrid w:val="0"/>
        <w:spacing w:line="360" w:lineRule="exact"/>
        <w:ind w:firstLine="400" w:firstLineChars="200"/>
        <w:rPr>
          <w:rFonts w:ascii="Times New Roman" w:hAnsi="Times New Roman" w:eastAsia="仿宋" w:cs="Times New Roman"/>
          <w:sz w:val="20"/>
          <w:szCs w:val="20"/>
        </w:rPr>
        <w:sectPr>
          <w:headerReference r:id="rId12" w:type="first"/>
          <w:footerReference r:id="rId14" w:type="first"/>
          <w:headerReference r:id="rId10" w:type="default"/>
          <w:headerReference r:id="rId11" w:type="even"/>
          <w:footerReference r:id="rId13" w:type="even"/>
          <w:pgSz w:w="8391" w:h="11907"/>
          <w:pgMar w:top="1440" w:right="1080" w:bottom="1440" w:left="1080" w:header="680" w:footer="992" w:gutter="0"/>
          <w:cols w:space="720" w:num="1"/>
          <w:docGrid w:type="lines" w:linePitch="381" w:charSpace="0"/>
        </w:sectPr>
      </w:pPr>
    </w:p>
    <w:p w14:paraId="4932AA28">
      <w:pPr>
        <w:keepNext/>
        <w:snapToGrid w:val="0"/>
        <w:spacing w:afterLines="50" w:line="360" w:lineRule="exact"/>
        <w:jc w:val="center"/>
        <w:outlineLvl w:val="1"/>
        <w:rPr>
          <w:rFonts w:ascii="Times New Roman" w:hAnsi="Times New Roman" w:eastAsia="仿宋" w:cs="Times New Roman"/>
          <w:b/>
          <w:bCs/>
          <w:sz w:val="22"/>
          <w:szCs w:val="24"/>
        </w:rPr>
      </w:pPr>
      <w:bookmarkStart w:id="109" w:name="_Toc163910323"/>
      <w:r>
        <w:rPr>
          <w:rFonts w:ascii="Times New Roman" w:hAnsi="Times New Roman" w:eastAsia="仿宋" w:cs="Times New Roman"/>
          <w:b/>
          <w:bCs/>
          <w:sz w:val="22"/>
          <w:szCs w:val="24"/>
        </w:rPr>
        <w:t>6. Rail Transit</w:t>
      </w:r>
      <w:bookmarkEnd w:id="109"/>
    </w:p>
    <w:p w14:paraId="343825B2">
      <w:pPr>
        <w:keepNext/>
        <w:snapToGrid w:val="0"/>
        <w:spacing w:line="360" w:lineRule="exact"/>
        <w:ind w:firstLine="442" w:firstLineChars="200"/>
        <w:outlineLvl w:val="2"/>
        <w:rPr>
          <w:rFonts w:ascii="Times New Roman" w:hAnsi="Times New Roman" w:eastAsia="黑体" w:cs="Times New Roman"/>
          <w:b/>
          <w:sz w:val="22"/>
          <w:szCs w:val="24"/>
        </w:rPr>
      </w:pPr>
      <w:bookmarkStart w:id="110" w:name="_Toc163910324"/>
      <w:r>
        <w:rPr>
          <w:rFonts w:ascii="Times New Roman" w:hAnsi="Times New Roman" w:eastAsia="黑体" w:cs="Times New Roman"/>
          <w:b/>
          <w:sz w:val="22"/>
          <w:szCs w:val="24"/>
        </w:rPr>
        <w:t>(1) Development Status</w:t>
      </w:r>
      <w:bookmarkEnd w:id="110"/>
    </w:p>
    <w:p w14:paraId="60369D60">
      <w:pPr>
        <w:snapToGrid w:val="0"/>
        <w:spacing w:line="360" w:lineRule="exact"/>
        <w:ind w:firstLine="440" w:firstLineChars="200"/>
        <w:rPr>
          <w:rFonts w:ascii="Times New Roman" w:hAnsi="Times New Roman" w:eastAsia="仿宋" w:cs="Times New Roman"/>
          <w:sz w:val="22"/>
          <w:szCs w:val="24"/>
        </w:rPr>
      </w:pPr>
      <w:r>
        <w:rPr>
          <w:rFonts w:hint="eastAsia" w:ascii="Times New Roman" w:hAnsi="Times New Roman" w:eastAsia="仿宋" w:cs="Times New Roman"/>
          <w:sz w:val="22"/>
          <w:szCs w:val="24"/>
        </w:rPr>
        <w:t>The output value reached 170 billion yuan in 2024, maintaining its position as the largest in China. Hunan's rail transit industry is primarily concentrated in Zhuzhou City, renowned as the "Capital of China's Electric Locomotives." As the world's largest R&amp;D and manufacturing base for rail transit equipment, it boasts the highest level of industrial agglomeration globally. It is also the only pilot city in China for the clustered development of the rail transit equipment industry as a strategic emerging industry. The cluster includes 5 leading enterprises each with revenues exceeding 10 billion yuan and over 500 upstream and downstream companies. Remarkably, the tens of thousands of components needed to produce an electric locomotive can be sourced in the time it takes to drink a coffee.</w:t>
      </w:r>
    </w:p>
    <w:p w14:paraId="4B2EFE33">
      <w:pPr>
        <w:snapToGrid w:val="0"/>
        <w:rPr>
          <w:rFonts w:ascii="Times New Roman" w:hAnsi="Times New Roman" w:eastAsia="仿宋" w:cs="Times New Roman"/>
          <w:sz w:val="22"/>
        </w:rPr>
      </w:pPr>
      <w:r>
        <w:rPr>
          <w:rFonts w:hint="eastAsia"/>
        </w:rPr>
        <w:drawing>
          <wp:inline distT="0" distB="0" distL="0" distR="0">
            <wp:extent cx="4045585" cy="1671320"/>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4054682" cy="1675358"/>
                    </a:xfrm>
                    <a:prstGeom prst="rect">
                      <a:avLst/>
                    </a:prstGeom>
                    <a:noFill/>
                    <a:ln>
                      <a:noFill/>
                    </a:ln>
                  </pic:spPr>
                </pic:pic>
              </a:graphicData>
            </a:graphic>
          </wp:inline>
        </w:drawing>
      </w:r>
    </w:p>
    <w:p w14:paraId="01EFDB6A">
      <w:pPr>
        <w:keepNext/>
        <w:adjustRightInd w:val="0"/>
        <w:snapToGrid w:val="0"/>
        <w:spacing w:afterLines="20"/>
        <w:ind w:firstLine="357"/>
        <w:jc w:val="center"/>
        <w:rPr>
          <w:rFonts w:ascii="Times New Roman" w:hAnsi="Times New Roman" w:eastAsia="黑体" w:cs="Times New Roman"/>
          <w:sz w:val="18"/>
          <w:szCs w:val="24"/>
        </w:rPr>
      </w:pPr>
      <w:r>
        <w:rPr>
          <w:rFonts w:ascii="Times New Roman" w:hAnsi="Times New Roman" w:eastAsia="黑体" w:cs="Times New Roman"/>
          <w:sz w:val="18"/>
          <w:szCs w:val="24"/>
        </w:rPr>
        <w:t>Leading companies in rail transit equipment</w:t>
      </w:r>
    </w:p>
    <w:p w14:paraId="476477E1">
      <w:pPr>
        <w:snapToGrid w:val="0"/>
        <w:spacing w:after="120" w:line="360" w:lineRule="exact"/>
        <w:ind w:firstLine="440" w:firstLineChars="200"/>
        <w:rPr>
          <w:rFonts w:ascii="Times New Roman" w:hAnsi="Times New Roman" w:eastAsia="黑体" w:cs="Times New Roman"/>
          <w:sz w:val="15"/>
          <w:szCs w:val="21"/>
        </w:rPr>
      </w:pPr>
      <w:r>
        <w:rPr>
          <w:rFonts w:hint="eastAsia" w:ascii="Times New Roman" w:hAnsi="Times New Roman" w:eastAsia="仿宋" w:cs="Times New Roman"/>
          <w:sz w:val="22"/>
          <w:szCs w:val="24"/>
        </w:rPr>
        <w:t>In 2024, the total output value of Hunan's rail transit equipment industry chain accounted for over 30% of the national industry. Its products are exported to more than 100 countries and regions across six continents. Key products, including complete vehicle equipment, network control systems for high-speed rail locomotives, and electric drive systems for rolling stock, rank first in China in terms of production and sales. The local procurement rate for components exceeds 80%.</w:t>
      </w:r>
    </w:p>
    <w:p w14:paraId="59EB001F">
      <w:pPr>
        <w:keepNext/>
        <w:snapToGrid w:val="0"/>
        <w:spacing w:line="360" w:lineRule="exact"/>
        <w:ind w:firstLine="442" w:firstLineChars="200"/>
        <w:outlineLvl w:val="2"/>
        <w:rPr>
          <w:rFonts w:ascii="Times New Roman" w:hAnsi="Times New Roman" w:eastAsia="黑体" w:cs="Times New Roman"/>
          <w:b/>
          <w:sz w:val="22"/>
          <w:szCs w:val="24"/>
        </w:rPr>
      </w:pPr>
      <w:bookmarkStart w:id="111" w:name="_Toc163910325"/>
      <w:r>
        <w:rPr>
          <w:rFonts w:ascii="Times New Roman" w:hAnsi="Times New Roman" w:eastAsia="黑体" w:cs="Times New Roman"/>
          <w:b/>
          <w:sz w:val="22"/>
          <w:szCs w:val="24"/>
        </w:rPr>
        <w:t>(2) Development Target</w:t>
      </w:r>
      <w:bookmarkEnd w:id="111"/>
    </w:p>
    <w:p w14:paraId="2BBBFAB9">
      <w:pPr>
        <w:snapToGrid w:val="0"/>
        <w:spacing w:after="120" w:line="360" w:lineRule="exact"/>
        <w:ind w:firstLine="440" w:firstLineChars="200"/>
        <w:rPr>
          <w:rFonts w:ascii="Times New Roman" w:hAnsi="Times New Roman" w:eastAsia="仿宋" w:cs="Times New Roman"/>
          <w:sz w:val="22"/>
          <w:szCs w:val="24"/>
        </w:rPr>
      </w:pPr>
      <w:r>
        <w:rPr>
          <w:rFonts w:ascii="Times New Roman" w:hAnsi="Times New Roman" w:eastAsia="仿宋" w:cs="Times New Roman"/>
          <w:sz w:val="22"/>
          <w:szCs w:val="24"/>
        </w:rPr>
        <w:t>By 2027, the production value of rail transit equipment cluster will surpass 200 billion yuan, fostering the growth of over five companies with revenues exceeding 10 billion yuan each. Service revenue contribution to the total revenue is projected to reach around 25%, and a world-class R&amp;D center for rail transit equipment, a world-leading smart manufacturing center for rail transit equipment, and China’s largest service center for rail transit industry will be built.</w:t>
      </w:r>
    </w:p>
    <w:p w14:paraId="0236381C">
      <w:pPr>
        <w:keepNext/>
        <w:snapToGrid w:val="0"/>
        <w:spacing w:line="360" w:lineRule="exact"/>
        <w:ind w:firstLine="442" w:firstLineChars="200"/>
        <w:outlineLvl w:val="2"/>
        <w:rPr>
          <w:rFonts w:ascii="Times New Roman" w:hAnsi="Times New Roman" w:eastAsia="黑体" w:cs="Times New Roman"/>
          <w:b/>
          <w:sz w:val="22"/>
          <w:szCs w:val="24"/>
        </w:rPr>
      </w:pPr>
      <w:bookmarkStart w:id="112" w:name="_Toc163910326"/>
      <w:r>
        <w:rPr>
          <w:rFonts w:ascii="Times New Roman" w:hAnsi="Times New Roman" w:eastAsia="黑体" w:cs="Times New Roman"/>
          <w:b/>
          <w:sz w:val="22"/>
          <w:szCs w:val="24"/>
        </w:rPr>
        <w:t>(3) Policy Support</w:t>
      </w:r>
      <w:bookmarkEnd w:id="112"/>
    </w:p>
    <w:p w14:paraId="79B31A9C">
      <w:pPr>
        <w:pStyle w:val="85"/>
        <w:numPr>
          <w:ilvl w:val="0"/>
          <w:numId w:val="3"/>
        </w:numPr>
        <w:ind w:left="426" w:hanging="142" w:firstLineChars="0"/>
        <w:rPr>
          <w:i/>
          <w:iCs/>
        </w:rPr>
      </w:pPr>
      <w:r>
        <w:rPr>
          <w:i/>
          <w:iCs/>
        </w:rPr>
        <w:t>Regulations on Promoting Advanced Manufacturing Industry in Hunan Province</w:t>
      </w:r>
    </w:p>
    <w:p w14:paraId="6E5EB625">
      <w:pPr>
        <w:pStyle w:val="85"/>
        <w:numPr>
          <w:ilvl w:val="0"/>
          <w:numId w:val="3"/>
        </w:numPr>
        <w:ind w:left="426" w:hanging="142" w:firstLineChars="0"/>
        <w:rPr>
          <w:i/>
          <w:iCs/>
        </w:rPr>
      </w:pPr>
      <w:r>
        <w:rPr>
          <w:i/>
          <w:iCs/>
        </w:rPr>
        <w:t>Policy Measures to Support the Development of Advanced Manufacturing Supply Chain</w:t>
      </w:r>
    </w:p>
    <w:p w14:paraId="1B237E1D">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83840" behindDoc="0" locked="0" layoutInCell="1" allowOverlap="1">
                <wp:simplePos x="0" y="0"/>
                <wp:positionH relativeFrom="margin">
                  <wp:posOffset>3057525</wp:posOffset>
                </wp:positionH>
                <wp:positionV relativeFrom="margin">
                  <wp:posOffset>4623435</wp:posOffset>
                </wp:positionV>
                <wp:extent cx="914400" cy="962025"/>
                <wp:effectExtent l="6350" t="6350" r="8890" b="6985"/>
                <wp:wrapSquare wrapText="bothSides"/>
                <wp:docPr id="45" name="文本框 14"/>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3516EA87">
                            <w:pPr>
                              <w:pStyle w:val="92"/>
                              <w:adjustRightInd w:val="0"/>
                            </w:pPr>
                            <w:r>
                              <w:drawing>
                                <wp:inline distT="0" distB="0" distL="0" distR="0">
                                  <wp:extent cx="722630" cy="722630"/>
                                  <wp:effectExtent l="0" t="0" r="1270" b="127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57">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1974D869">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4A4068D6">
                            <w:pPr>
                              <w:pStyle w:val="92"/>
                              <w:adjustRightInd w:val="0"/>
                            </w:pPr>
                          </w:p>
                        </w:txbxContent>
                      </wps:txbx>
                      <wps:bodyPr upright="1"/>
                    </wps:wsp>
                  </a:graphicData>
                </a:graphic>
              </wp:anchor>
            </w:drawing>
          </mc:Choice>
          <mc:Fallback>
            <w:pict>
              <v:shape id="文本框 14" o:spid="_x0000_s1026" o:spt="202" type="#_x0000_t202" style="position:absolute;left:0pt;margin-left:240.75pt;margin-top:364.05pt;height:75.75pt;width:72pt;mso-position-horizontal-relative:margin;mso-position-vertical-relative:margin;mso-wrap-distance-bottom:0pt;mso-wrap-distance-left:9pt;mso-wrap-distance-right:9pt;mso-wrap-distance-top:0pt;z-index:251683840;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">
                <v:fill on="f" focussize="0,0"/>
                <v:stroke weight="1pt" color="#A8D08D" joinstyle="miter"/>
                <v:imagedata o:title=""/>
                <o:lock v:ext="edit" aspectratio="f"/>
                <v:textbox>
                  <w:txbxContent>
                    <w:p w14:paraId="3516EA87">
                      <w:pPr>
                        <w:pStyle w:val="92"/>
                        <w:adjustRightInd w:val="0"/>
                      </w:pPr>
                      <w:r>
                        <w:drawing>
                          <wp:inline distT="0" distB="0" distL="0" distR="0">
                            <wp:extent cx="722630" cy="722630"/>
                            <wp:effectExtent l="0" t="0" r="1270" b="127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57">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1974D869">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4A4068D6">
                      <w:pPr>
                        <w:pStyle w:val="92"/>
                        <w:adjustRightInd w:val="0"/>
                      </w:pPr>
                    </w:p>
                  </w:txbxContent>
                </v:textbox>
                <w10:wrap type="square"/>
              </v:shape>
            </w:pict>
          </mc:Fallback>
        </mc:AlternateContent>
      </w:r>
      <w:r>
        <w:rPr>
          <w:i/>
          <w:iCs/>
        </w:rPr>
        <w:t>Implementation Rules on Policy Measures to Support the Development of Advanced Manufacturing Supply Chain</w:t>
      </w:r>
    </w:p>
    <w:p w14:paraId="7A1ECBBE">
      <w:pPr>
        <w:pStyle w:val="85"/>
        <w:numPr>
          <w:ilvl w:val="0"/>
          <w:numId w:val="3"/>
        </w:numPr>
        <w:ind w:left="426" w:hanging="142" w:firstLineChars="0"/>
        <w:rPr>
          <w:i/>
          <w:iCs/>
        </w:rPr>
      </w:pPr>
      <w:r>
        <w:rPr>
          <w:i/>
          <w:iCs/>
        </w:rPr>
        <w:t>14th Five-Year Plan for Advanced Rail Transit Equipment Industry in Hunan Province</w:t>
      </w:r>
    </w:p>
    <w:p w14:paraId="59760129">
      <w:pPr>
        <w:pStyle w:val="85"/>
        <w:numPr>
          <w:ilvl w:val="0"/>
          <w:numId w:val="3"/>
        </w:numPr>
        <w:ind w:left="426" w:hanging="142" w:firstLineChars="0"/>
        <w:rPr>
          <w:i/>
          <w:iCs/>
        </w:rPr>
      </w:pPr>
      <w:r>
        <w:rPr>
          <w:i/>
          <w:iCs/>
        </w:rPr>
        <w:t>Plan for the Layout and Development of Provincial Parks of Supporting Industries for Major Advanced Manufacturing Industries</w:t>
      </w:r>
    </w:p>
    <w:p w14:paraId="213577B2">
      <w:pPr>
        <w:pStyle w:val="85"/>
        <w:numPr>
          <w:ilvl w:val="0"/>
          <w:numId w:val="3"/>
        </w:numPr>
        <w:ind w:left="426" w:hanging="142" w:firstLineChars="0"/>
        <w:rPr>
          <w:i/>
          <w:iCs/>
        </w:rPr>
      </w:pPr>
      <w:r>
        <w:rPr>
          <w:i/>
          <w:iCs/>
        </w:rPr>
        <w:t>Fiscal Support Policy for Establishing a Hub of Advanced Manufacturing Industry of National Importance in Hunan Province</w:t>
      </w:r>
    </w:p>
    <w:p w14:paraId="24CE8179">
      <w:pPr>
        <w:rPr>
          <w:i/>
          <w:iCs/>
        </w:rPr>
      </w:pPr>
      <w:r>
        <w:rPr>
          <w:iCs/>
        </w:rPr>
        <mc:AlternateContent>
          <mc:Choice Requires="wps">
            <w:drawing>
              <wp:anchor distT="0" distB="0" distL="114300" distR="114300" simplePos="0" relativeHeight="251667456" behindDoc="0" locked="0" layoutInCell="1" allowOverlap="1">
                <wp:simplePos x="0" y="0"/>
                <wp:positionH relativeFrom="column">
                  <wp:posOffset>17145</wp:posOffset>
                </wp:positionH>
                <wp:positionV relativeFrom="paragraph">
                  <wp:posOffset>122555</wp:posOffset>
                </wp:positionV>
                <wp:extent cx="3937000" cy="2606675"/>
                <wp:effectExtent l="6350" t="116840" r="19050" b="19685"/>
                <wp:wrapNone/>
                <wp:docPr id="14" name="矩形标注 38"/>
                <wp:cNvGraphicFramePr/>
                <a:graphic xmlns:a="http://schemas.openxmlformats.org/drawingml/2006/main">
                  <a:graphicData uri="http://schemas.microsoft.com/office/word/2010/wordprocessingShape">
                    <wps:wsp>
                      <wps:cNvSpPr/>
                      <wps:spPr>
                        <a:xfrm>
                          <a:off x="0" y="0"/>
                          <a:ext cx="3937000" cy="2606675"/>
                        </a:xfrm>
                        <a:prstGeom prst="wedgeRectCallout">
                          <a:avLst>
                            <a:gd name="adj1" fmla="val -41856"/>
                            <a:gd name="adj2" fmla="val -54088"/>
                          </a:avLst>
                        </a:prstGeom>
                        <a:solidFill>
                          <a:srgbClr val="E2EFD9"/>
                        </a:solidFill>
                        <a:ln w="12700" cap="flat" cmpd="sng">
                          <a:solidFill>
                            <a:srgbClr val="A8D08D"/>
                          </a:solidFill>
                          <a:prstDash val="solid"/>
                          <a:miter/>
                          <a:headEnd type="none" w="med" len="med"/>
                          <a:tailEnd type="none" w="med" len="med"/>
                        </a:ln>
                      </wps:spPr>
                      <wps:txbx>
                        <w:txbxContent>
                          <w:p w14:paraId="4B844F33">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14208A97">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Supporting stable and effective investment in advanced manufacturing. </w:t>
                            </w:r>
                            <w:r>
                              <w:rPr>
                                <w:rFonts w:ascii="Times New Roman" w:hAnsi="Times New Roman" w:cs="Times New Roman"/>
                                <w:color w:val="3F3F3F" w:themeColor="text1" w:themeTint="BF"/>
                                <w:sz w:val="18"/>
                                <w:szCs w:val="18"/>
                              </w:rPr>
                              <w:t>Each year, efforts will be made to promote a batch of major projects in advanced manufacturing that are technologically advanced, highly profitable, and have a prominent guiding role. For projects with fixed asset investments of at least 1 billion yuan (excluding land costs), and projects with 50% or at least 800 million yuan of fixed asset investments completed within one year of project commencement, new loans for the project are eligible to interest subsidies based on a certain percentage of the Loan Prime Rate (LPR) (up to 10 million yuan).</w:t>
                            </w:r>
                          </w:p>
                          <w:p w14:paraId="52732EB2">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Accelerating the digital empowerment of manufacturing. </w:t>
                            </w:r>
                            <w:r>
                              <w:rPr>
                                <w:rFonts w:ascii="Times New Roman" w:hAnsi="Times New Roman" w:cs="Times New Roman"/>
                                <w:color w:val="3F3F3F" w:themeColor="text1" w:themeTint="BF"/>
                                <w:sz w:val="18"/>
                                <w:szCs w:val="18"/>
                              </w:rPr>
                              <w:t>Based on the integration of digital technology in key industries of manufacturing, support will be provided each year to a group of “5G + Industrial Internet” demonstration factories and typical application scenarios for digital transformation, with each receiving rewards of up to 1 million yuan.</w:t>
                            </w:r>
                          </w:p>
                          <w:p w14:paraId="0CACB9CB">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Supporting the intelligent upgrading of manufacturing. </w:t>
                            </w:r>
                            <w:r>
                              <w:rPr>
                                <w:rFonts w:ascii="Times New Roman" w:hAnsi="Times New Roman" w:cs="Times New Roman"/>
                                <w:color w:val="3F3F3F" w:themeColor="text1" w:themeTint="BF"/>
                                <w:sz w:val="18"/>
                                <w:szCs w:val="18"/>
                              </w:rPr>
                              <w:t>Each year, a batch of benchmark enterprises and workshops in intelligent manufacturing will be supported according to urgency. Benchmark intelligent manufacturing enterprises are eligible to rewards of up to 1 million yuan each, while benchmark intelligent manufacturing workshops are eligible to rewards of up to 500,000 yuan each.</w:t>
                            </w:r>
                          </w:p>
                        </w:txbxContent>
                      </wps:txbx>
                      <wps:bodyPr anchor="ctr" anchorCtr="0" upright="1"/>
                    </wps:wsp>
                  </a:graphicData>
                </a:graphic>
              </wp:anchor>
            </w:drawing>
          </mc:Choice>
          <mc:Fallback>
            <w:pict>
              <v:shape id="矩形标注 38" o:spid="_x0000_s1026" o:spt="61" type="#_x0000_t61" style="position:absolute;left:0pt;margin-left:1.35pt;margin-top:9.65pt;height:205.25pt;width:310pt;z-index:251667456;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" adj="1759,-883">
                <v:fill on="t" focussize="0,0"/>
                <v:stroke weight="1pt" color="#A8D08D" joinstyle="miter"/>
                <v:imagedata o:title=""/>
                <o:lock v:ext="edit" aspectratio="f"/>
                <v:textbox>
                  <w:txbxContent>
                    <w:p w14:paraId="4B844F33">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14208A97">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Supporting stable and effective investment in advanced manufacturing. </w:t>
                      </w:r>
                      <w:r>
                        <w:rPr>
                          <w:rFonts w:ascii="Times New Roman" w:hAnsi="Times New Roman" w:cs="Times New Roman"/>
                          <w:color w:val="3F3F3F" w:themeColor="text1" w:themeTint="BF"/>
                          <w:sz w:val="18"/>
                          <w:szCs w:val="18"/>
                        </w:rPr>
                        <w:t>Each year, efforts will be made to promote a batch of major projects in advanced manufacturing that are technologically advanced, highly profitable, and have a prominent guiding role. For projects with fixed asset investments of at least 1 billion yuan (excluding land costs), and projects with 50% or at least 800 million yuan of fixed asset investments completed within one year of project commencement, new loans for the project are eligible to interest subsidies based on a certain percentage of the Loan Prime Rate (LPR) (up to 10 million yuan).</w:t>
                      </w:r>
                    </w:p>
                    <w:p w14:paraId="52732EB2">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Accelerating the digital empowerment of manufacturing. </w:t>
                      </w:r>
                      <w:r>
                        <w:rPr>
                          <w:rFonts w:ascii="Times New Roman" w:hAnsi="Times New Roman" w:cs="Times New Roman"/>
                          <w:color w:val="3F3F3F" w:themeColor="text1" w:themeTint="BF"/>
                          <w:sz w:val="18"/>
                          <w:szCs w:val="18"/>
                        </w:rPr>
                        <w:t>Based on the integration of digital technology in key industries of manufacturing, support will be provided each year to a group of “5G + Industrial Internet” demonstration factories and typical application scenarios for digital transformation, with each receiving rewards of up to 1 million yuan.</w:t>
                      </w:r>
                    </w:p>
                    <w:p w14:paraId="0CACB9CB">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Supporting the intelligent upgrading of manufacturing. </w:t>
                      </w:r>
                      <w:r>
                        <w:rPr>
                          <w:rFonts w:ascii="Times New Roman" w:hAnsi="Times New Roman" w:cs="Times New Roman"/>
                          <w:color w:val="3F3F3F" w:themeColor="text1" w:themeTint="BF"/>
                          <w:sz w:val="18"/>
                          <w:szCs w:val="18"/>
                        </w:rPr>
                        <w:t>Each year, a batch of benchmark enterprises and workshops in intelligent manufacturing will be supported according to urgency. Benchmark intelligent manufacturing enterprises are eligible to rewards of up to 1 million yuan each, while benchmark intelligent manufacturing workshops are eligible to rewards of up to 500,000 yuan each.</w:t>
                      </w:r>
                    </w:p>
                  </w:txbxContent>
                </v:textbox>
              </v:shape>
            </w:pict>
          </mc:Fallback>
        </mc:AlternateContent>
      </w:r>
    </w:p>
    <w:p w14:paraId="41BDB775">
      <w:pPr>
        <w:rPr>
          <w:i/>
          <w:iCs/>
        </w:rPr>
      </w:pPr>
    </w:p>
    <w:p w14:paraId="44748DBA">
      <w:pPr>
        <w:rPr>
          <w:i/>
          <w:iCs/>
        </w:rPr>
      </w:pPr>
    </w:p>
    <w:p w14:paraId="21EF333E">
      <w:pPr>
        <w:rPr>
          <w:i/>
          <w:iCs/>
        </w:rPr>
      </w:pPr>
    </w:p>
    <w:p w14:paraId="0FE29EA2">
      <w:pPr>
        <w:rPr>
          <w:i/>
          <w:iCs/>
        </w:rPr>
      </w:pPr>
    </w:p>
    <w:p w14:paraId="46215B74">
      <w:pPr>
        <w:rPr>
          <w:i/>
          <w:iCs/>
        </w:rPr>
      </w:pPr>
    </w:p>
    <w:p w14:paraId="07777896">
      <w:pPr>
        <w:rPr>
          <w:i/>
          <w:iCs/>
        </w:rPr>
      </w:pPr>
    </w:p>
    <w:p w14:paraId="7B73C5A8">
      <w:pPr>
        <w:rPr>
          <w:i/>
          <w:iCs/>
        </w:rPr>
      </w:pPr>
    </w:p>
    <w:p w14:paraId="3BEF0BB6">
      <w:pPr>
        <w:rPr>
          <w:i/>
          <w:iCs/>
        </w:rPr>
      </w:pPr>
    </w:p>
    <w:p w14:paraId="2533B9D3">
      <w:pPr>
        <w:rPr>
          <w:i/>
          <w:iCs/>
        </w:rPr>
      </w:pPr>
    </w:p>
    <w:p w14:paraId="1F89256C">
      <w:pPr>
        <w:rPr>
          <w:i/>
          <w:iCs/>
        </w:rPr>
      </w:pPr>
    </w:p>
    <w:p w14:paraId="7BE5EE71">
      <w:pPr>
        <w:rPr>
          <w:i/>
          <w:iCs/>
        </w:rPr>
      </w:pPr>
    </w:p>
    <w:p w14:paraId="1C9981E6">
      <w:pPr>
        <w:adjustRightInd w:val="0"/>
        <w:snapToGrid w:val="0"/>
        <w:spacing w:beforeLines="50" w:afterLines="20"/>
        <w:jc w:val="center"/>
        <w:rPr>
          <w:rFonts w:ascii="Times New Roman" w:hAnsi="Times New Roman" w:eastAsia="仿宋" w:cs="Times New Roman"/>
          <w:sz w:val="18"/>
          <w:szCs w:val="16"/>
        </w:rPr>
      </w:pPr>
      <w:bookmarkStart w:id="113" w:name="_Hlk163756291"/>
      <w:r>
        <w:rPr>
          <w:rFonts w:ascii="Times New Roman" w:hAnsi="Times New Roman" w:eastAsia="仿宋" w:cs="Times New Roman"/>
          <w:sz w:val="18"/>
          <w:szCs w:val="20"/>
        </w:rPr>
        <w:t>Funds supporting the rail transit industry</w:t>
      </w:r>
    </w:p>
    <w:tbl>
      <w:tblPr>
        <w:tblStyle w:val="44"/>
        <w:tblW w:w="5000" w:type="pct"/>
        <w:jc w:val="center"/>
        <w:tblBorders>
          <w:top w:val="single" w:color="9BBB59" w:sz="4" w:space="0"/>
          <w:left w:val="none" w:color="auto" w:sz="0" w:space="0"/>
          <w:bottom w:val="single" w:color="9BBB59"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1"/>
        <w:gridCol w:w="1402"/>
        <w:gridCol w:w="1478"/>
        <w:gridCol w:w="562"/>
        <w:gridCol w:w="887"/>
        <w:gridCol w:w="1717"/>
      </w:tblGrid>
      <w:tr w14:paraId="41F5B435">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blHeader/>
          <w:jc w:val="center"/>
        </w:trPr>
        <w:tc>
          <w:tcPr>
            <w:tcW w:w="311" w:type="pct"/>
            <w:tcBorders>
              <w:bottom w:val="single" w:color="9BBB59" w:sz="4" w:space="0"/>
            </w:tcBorders>
            <w:vAlign w:val="center"/>
          </w:tcPr>
          <w:p w14:paraId="5C0DCE6F">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No.</w:t>
            </w:r>
          </w:p>
        </w:tc>
        <w:tc>
          <w:tcPr>
            <w:tcW w:w="1087" w:type="pct"/>
            <w:tcBorders>
              <w:bottom w:val="single" w:color="9BBB59" w:sz="4" w:space="0"/>
            </w:tcBorders>
            <w:vAlign w:val="center"/>
          </w:tcPr>
          <w:p w14:paraId="35A8B7C2">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Fund</w:t>
            </w:r>
          </w:p>
        </w:tc>
        <w:tc>
          <w:tcPr>
            <w:tcW w:w="1146" w:type="pct"/>
            <w:tcBorders>
              <w:bottom w:val="single" w:color="9BBB59" w:sz="4" w:space="0"/>
            </w:tcBorders>
            <w:vAlign w:val="center"/>
          </w:tcPr>
          <w:p w14:paraId="79961887">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Sector</w:t>
            </w:r>
          </w:p>
        </w:tc>
        <w:tc>
          <w:tcPr>
            <w:tcW w:w="436" w:type="pct"/>
            <w:tcBorders>
              <w:bottom w:val="single" w:color="9BBB59" w:sz="4" w:space="0"/>
            </w:tcBorders>
            <w:vAlign w:val="center"/>
          </w:tcPr>
          <w:p w14:paraId="1A1BFF84">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Est. Time</w:t>
            </w:r>
          </w:p>
        </w:tc>
        <w:tc>
          <w:tcPr>
            <w:tcW w:w="688" w:type="pct"/>
            <w:tcBorders>
              <w:bottom w:val="single" w:color="9BBB59" w:sz="4" w:space="0"/>
            </w:tcBorders>
            <w:vAlign w:val="center"/>
          </w:tcPr>
          <w:p w14:paraId="1C3ACBC7">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Scale (RMB)</w:t>
            </w:r>
          </w:p>
        </w:tc>
        <w:tc>
          <w:tcPr>
            <w:tcW w:w="1334" w:type="pct"/>
            <w:tcBorders>
              <w:bottom w:val="single" w:color="9BBB59" w:sz="4" w:space="0"/>
            </w:tcBorders>
            <w:vAlign w:val="center"/>
          </w:tcPr>
          <w:p w14:paraId="4A18D641">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20"/>
              </w:rPr>
            </w:pPr>
            <w:r>
              <w:rPr>
                <w:rFonts w:ascii="Times New Roman" w:hAnsi="Times New Roman" w:eastAsia="仿宋" w:cs="Times New Roman"/>
                <w:b/>
                <w:bCs/>
                <w:color w:val="auto"/>
                <w:kern w:val="0"/>
                <w:sz w:val="18"/>
                <w:szCs w:val="20"/>
              </w:rPr>
              <w:t>Remarks</w:t>
            </w:r>
          </w:p>
        </w:tc>
      </w:tr>
      <w:tr w14:paraId="13F49111">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jc w:val="center"/>
        </w:trPr>
        <w:tc>
          <w:tcPr>
            <w:tcW w:w="311" w:type="pct"/>
            <w:shd w:val="clear" w:color="auto" w:fill="EAF1DD"/>
            <w:vAlign w:val="center"/>
          </w:tcPr>
          <w:p w14:paraId="503629FE">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20"/>
              </w:rPr>
            </w:pPr>
            <w:r>
              <w:rPr>
                <w:rFonts w:ascii="Times New Roman" w:hAnsi="Times New Roman" w:eastAsia="仿宋" w:cs="Times New Roman"/>
                <w:b w:val="0"/>
                <w:bCs w:val="0"/>
                <w:color w:val="auto"/>
                <w:kern w:val="0"/>
                <w:sz w:val="18"/>
                <w:szCs w:val="20"/>
              </w:rPr>
              <w:t>1</w:t>
            </w:r>
          </w:p>
        </w:tc>
        <w:tc>
          <w:tcPr>
            <w:tcW w:w="1087" w:type="pct"/>
            <w:shd w:val="clear" w:color="auto" w:fill="EAF1DD"/>
            <w:vAlign w:val="center"/>
          </w:tcPr>
          <w:p w14:paraId="356696E1">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Hunan Emerging Industry Stock Investment Guidance Fund</w:t>
            </w:r>
          </w:p>
        </w:tc>
        <w:tc>
          <w:tcPr>
            <w:tcW w:w="1146" w:type="pct"/>
            <w:shd w:val="clear" w:color="auto" w:fill="EAF1DD"/>
            <w:vAlign w:val="center"/>
          </w:tcPr>
          <w:p w14:paraId="1F4E6D88">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Advanced equipment manufacturing</w:t>
            </w:r>
          </w:p>
        </w:tc>
        <w:tc>
          <w:tcPr>
            <w:tcW w:w="436" w:type="pct"/>
            <w:shd w:val="clear" w:color="auto" w:fill="EAF1DD"/>
            <w:vAlign w:val="center"/>
          </w:tcPr>
          <w:p w14:paraId="19D4B49A">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2018</w:t>
            </w:r>
          </w:p>
        </w:tc>
        <w:tc>
          <w:tcPr>
            <w:tcW w:w="688" w:type="pct"/>
            <w:shd w:val="clear" w:color="auto" w:fill="EAF1DD"/>
            <w:vAlign w:val="center"/>
          </w:tcPr>
          <w:p w14:paraId="49100A5D">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35 billion expected;</w:t>
            </w:r>
          </w:p>
          <w:p w14:paraId="4B703643">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phase Ⅰ: 10 billion</w:t>
            </w:r>
          </w:p>
        </w:tc>
        <w:tc>
          <w:tcPr>
            <w:tcW w:w="1334" w:type="pct"/>
            <w:shd w:val="clear" w:color="auto" w:fill="EAF1DD"/>
            <w:vAlign w:val="center"/>
          </w:tcPr>
          <w:p w14:paraId="299030E4">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Managed by Hunan Chasing Fund Management with eight sub-funds established</w:t>
            </w:r>
          </w:p>
        </w:tc>
      </w:tr>
      <w:tr w14:paraId="639BB0A7">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jc w:val="center"/>
        </w:trPr>
        <w:tc>
          <w:tcPr>
            <w:tcW w:w="311" w:type="pct"/>
            <w:vAlign w:val="center"/>
          </w:tcPr>
          <w:p w14:paraId="07AD3B70">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20"/>
              </w:rPr>
            </w:pPr>
            <w:r>
              <w:rPr>
                <w:rFonts w:ascii="Times New Roman" w:hAnsi="Times New Roman" w:eastAsia="仿宋" w:cs="Times New Roman"/>
                <w:b w:val="0"/>
                <w:bCs w:val="0"/>
                <w:color w:val="auto"/>
                <w:kern w:val="0"/>
                <w:sz w:val="18"/>
                <w:szCs w:val="20"/>
              </w:rPr>
              <w:t>2</w:t>
            </w:r>
          </w:p>
        </w:tc>
        <w:tc>
          <w:tcPr>
            <w:tcW w:w="1087" w:type="pct"/>
            <w:vAlign w:val="center"/>
          </w:tcPr>
          <w:p w14:paraId="777EE762">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Zhuzhou Advanced Industry Cluster Development Fund of Funds (FOF)</w:t>
            </w:r>
          </w:p>
        </w:tc>
        <w:tc>
          <w:tcPr>
            <w:tcW w:w="1146" w:type="pct"/>
            <w:vAlign w:val="center"/>
          </w:tcPr>
          <w:p w14:paraId="697F6BEA">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13 iconic industrial chains such as rail transportation and aviation power</w:t>
            </w:r>
          </w:p>
        </w:tc>
        <w:tc>
          <w:tcPr>
            <w:tcW w:w="436" w:type="pct"/>
            <w:vAlign w:val="center"/>
          </w:tcPr>
          <w:p w14:paraId="57113CDE">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2022</w:t>
            </w:r>
          </w:p>
        </w:tc>
        <w:tc>
          <w:tcPr>
            <w:tcW w:w="688" w:type="pct"/>
            <w:vAlign w:val="center"/>
          </w:tcPr>
          <w:p w14:paraId="1D1B5F30">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Phase Ⅰ: 5 billion</w:t>
            </w:r>
          </w:p>
        </w:tc>
        <w:tc>
          <w:tcPr>
            <w:tcW w:w="1334" w:type="pct"/>
            <w:vAlign w:val="center"/>
          </w:tcPr>
          <w:p w14:paraId="1A6C7D56">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Led by Zhuzhou Municipal People’s Government, with Hunan Chasing Financial Holdings and Zhuzhou state-owned enterprises as major sponsors</w:t>
            </w:r>
          </w:p>
        </w:tc>
      </w:tr>
      <w:tr w14:paraId="17725466">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jc w:val="center"/>
        </w:trPr>
        <w:tc>
          <w:tcPr>
            <w:tcW w:w="311" w:type="pct"/>
            <w:shd w:val="clear" w:color="auto" w:fill="EAF1DD"/>
            <w:vAlign w:val="center"/>
          </w:tcPr>
          <w:p w14:paraId="3D8DAAC3">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20"/>
              </w:rPr>
            </w:pPr>
            <w:r>
              <w:rPr>
                <w:rFonts w:ascii="Times New Roman" w:hAnsi="Times New Roman" w:eastAsia="仿宋" w:cs="Times New Roman"/>
                <w:b w:val="0"/>
                <w:bCs w:val="0"/>
                <w:color w:val="auto"/>
                <w:kern w:val="0"/>
                <w:sz w:val="18"/>
                <w:szCs w:val="20"/>
              </w:rPr>
              <w:t>3</w:t>
            </w:r>
          </w:p>
        </w:tc>
        <w:tc>
          <w:tcPr>
            <w:tcW w:w="1087" w:type="pct"/>
            <w:shd w:val="clear" w:color="auto" w:fill="EAF1DD"/>
            <w:vAlign w:val="center"/>
          </w:tcPr>
          <w:p w14:paraId="4C64A47E">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Hengyang Industrial Investment Fund</w:t>
            </w:r>
          </w:p>
        </w:tc>
        <w:tc>
          <w:tcPr>
            <w:tcW w:w="1146" w:type="pct"/>
            <w:shd w:val="clear" w:color="auto" w:fill="EAF1DD"/>
            <w:vAlign w:val="center"/>
          </w:tcPr>
          <w:p w14:paraId="28FEB31B">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Aerospace and aviation equipment, advanced rail transit equipment, etc.</w:t>
            </w:r>
          </w:p>
        </w:tc>
        <w:tc>
          <w:tcPr>
            <w:tcW w:w="436" w:type="pct"/>
            <w:shd w:val="clear" w:color="auto" w:fill="EAF1DD"/>
            <w:vAlign w:val="center"/>
          </w:tcPr>
          <w:p w14:paraId="759C049A">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2018</w:t>
            </w:r>
          </w:p>
        </w:tc>
        <w:tc>
          <w:tcPr>
            <w:tcW w:w="688" w:type="pct"/>
            <w:shd w:val="clear" w:color="auto" w:fill="EAF1DD"/>
            <w:vAlign w:val="center"/>
          </w:tcPr>
          <w:p w14:paraId="1DF73250">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6 billion +</w:t>
            </w:r>
          </w:p>
        </w:tc>
        <w:tc>
          <w:tcPr>
            <w:tcW w:w="1334" w:type="pct"/>
            <w:shd w:val="clear" w:color="auto" w:fill="EAF1DD"/>
            <w:vAlign w:val="center"/>
          </w:tcPr>
          <w:p w14:paraId="567CE135">
            <w:pPr>
              <w:suppressAutoHyphens/>
              <w:adjustRightInd w:val="0"/>
              <w:snapToGrid w:val="0"/>
              <w:ind w:left="-105" w:leftChars="-50" w:right="-105" w:rightChars="-50"/>
              <w:jc w:val="center"/>
              <w:rPr>
                <w:rFonts w:ascii="Times New Roman" w:hAnsi="Times New Roman" w:eastAsia="仿宋" w:cs="Times New Roman"/>
                <w:color w:val="auto"/>
                <w:kern w:val="0"/>
                <w:sz w:val="18"/>
                <w:szCs w:val="20"/>
              </w:rPr>
            </w:pPr>
            <w:r>
              <w:rPr>
                <w:rFonts w:ascii="Times New Roman" w:hAnsi="Times New Roman" w:eastAsia="仿宋" w:cs="Times New Roman"/>
                <w:color w:val="auto"/>
                <w:kern w:val="0"/>
                <w:sz w:val="18"/>
                <w:szCs w:val="20"/>
              </w:rPr>
              <w:t>The government has contributed 1.5 billion yuan as an industrial guiding fund and set up sub-funds through cooperation with other social capital.</w:t>
            </w:r>
          </w:p>
        </w:tc>
      </w:tr>
      <w:bookmarkEnd w:id="113"/>
    </w:tbl>
    <w:p w14:paraId="2D2F3A7C">
      <w:pPr>
        <w:snapToGrid w:val="0"/>
        <w:spacing w:line="360" w:lineRule="exact"/>
        <w:ind w:firstLine="400" w:firstLineChars="200"/>
        <w:rPr>
          <w:rFonts w:ascii="Times New Roman" w:hAnsi="Times New Roman" w:eastAsia="仿宋" w:cs="Times New Roman"/>
          <w:sz w:val="20"/>
          <w:szCs w:val="20"/>
        </w:rPr>
      </w:pPr>
    </w:p>
    <w:p w14:paraId="62057F60">
      <w:pPr>
        <w:keepNext/>
        <w:snapToGrid w:val="0"/>
        <w:spacing w:line="360" w:lineRule="exact"/>
        <w:ind w:firstLine="442" w:firstLineChars="200"/>
        <w:outlineLvl w:val="2"/>
        <w:rPr>
          <w:rFonts w:ascii="Times New Roman" w:hAnsi="Times New Roman" w:eastAsia="黑体" w:cs="Times New Roman"/>
          <w:b/>
          <w:sz w:val="22"/>
          <w:szCs w:val="24"/>
        </w:rPr>
      </w:pPr>
      <w:bookmarkStart w:id="114" w:name="_Toc163910327"/>
      <w:r>
        <w:rPr>
          <w:rFonts w:ascii="Times New Roman" w:hAnsi="Times New Roman" w:eastAsia="黑体" w:cs="Times New Roman"/>
          <w:b/>
          <w:sz w:val="22"/>
          <w:szCs w:val="24"/>
        </w:rPr>
        <w:t>(4) Investment O</w:t>
      </w:r>
      <w:r>
        <w:rPr>
          <w:rFonts w:hint="eastAsia" w:ascii="Times New Roman" w:hAnsi="Times New Roman" w:eastAsia="黑体" w:cs="Times New Roman"/>
          <w:b/>
          <w:sz w:val="22"/>
          <w:szCs w:val="24"/>
        </w:rPr>
        <w:t>rientation</w:t>
      </w:r>
      <w:r>
        <w:rPr>
          <w:rFonts w:ascii="Times New Roman" w:hAnsi="Times New Roman" w:eastAsia="黑体" w:cs="Times New Roman"/>
          <w:b/>
          <w:sz w:val="22"/>
          <w:szCs w:val="24"/>
        </w:rPr>
        <w:t xml:space="preserve"> and Industrial Layout</w:t>
      </w:r>
      <w:bookmarkEnd w:id="114"/>
    </w:p>
    <w:p w14:paraId="7231BCDD">
      <w:pPr>
        <w:snapToGrid w:val="0"/>
        <w:spacing w:line="36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Vehicles.</w:t>
      </w:r>
      <w:r>
        <w:rPr>
          <w:rFonts w:ascii="Times New Roman" w:hAnsi="Times New Roman" w:eastAsia="黑体" w:cs="Times New Roman"/>
          <w:bCs/>
          <w:sz w:val="22"/>
          <w:szCs w:val="24"/>
        </w:rPr>
        <w:t xml:space="preserve"> Based on Zhuzhou HTZ, Zhuzhou ETDZ, and Hengyang Songmu ETDZ, with a focus on the integration of </w:t>
      </w:r>
      <w:bookmarkStart w:id="115" w:name="_Hlk163835417"/>
      <w:r>
        <w:rPr>
          <w:rFonts w:ascii="Times New Roman" w:hAnsi="Times New Roman" w:eastAsia="黑体" w:cs="Times New Roman"/>
          <w:bCs/>
          <w:sz w:val="22"/>
          <w:szCs w:val="24"/>
        </w:rPr>
        <w:t>national railways</w:t>
      </w:r>
      <w:bookmarkEnd w:id="115"/>
      <w:r>
        <w:rPr>
          <w:rFonts w:ascii="Times New Roman" w:hAnsi="Times New Roman" w:eastAsia="黑体" w:cs="Times New Roman"/>
          <w:bCs/>
          <w:sz w:val="22"/>
          <w:szCs w:val="24"/>
        </w:rPr>
        <w:t xml:space="preserve">, </w:t>
      </w:r>
      <w:bookmarkStart w:id="116" w:name="_Hlk163835425"/>
      <w:r>
        <w:rPr>
          <w:rFonts w:ascii="Times New Roman" w:hAnsi="Times New Roman" w:eastAsia="黑体" w:cs="Times New Roman"/>
          <w:bCs/>
          <w:sz w:val="22"/>
          <w:szCs w:val="24"/>
        </w:rPr>
        <w:t>urban rails</w:t>
      </w:r>
      <w:bookmarkEnd w:id="116"/>
      <w:r>
        <w:rPr>
          <w:rFonts w:ascii="Times New Roman" w:hAnsi="Times New Roman" w:eastAsia="黑体" w:cs="Times New Roman"/>
          <w:bCs/>
          <w:sz w:val="22"/>
          <w:szCs w:val="24"/>
        </w:rPr>
        <w:t xml:space="preserve">, </w:t>
      </w:r>
      <w:bookmarkStart w:id="117" w:name="_Hlk163835431"/>
      <w:r>
        <w:rPr>
          <w:rFonts w:ascii="Times New Roman" w:hAnsi="Times New Roman" w:eastAsia="黑体" w:cs="Times New Roman"/>
          <w:bCs/>
          <w:sz w:val="22"/>
          <w:szCs w:val="24"/>
        </w:rPr>
        <w:t>maglevs</w:t>
      </w:r>
      <w:bookmarkEnd w:id="117"/>
      <w:r>
        <w:rPr>
          <w:rFonts w:ascii="Times New Roman" w:hAnsi="Times New Roman" w:eastAsia="黑体" w:cs="Times New Roman"/>
          <w:bCs/>
          <w:sz w:val="22"/>
          <w:szCs w:val="24"/>
        </w:rPr>
        <w:t xml:space="preserve">, and </w:t>
      </w:r>
      <w:bookmarkStart w:id="118" w:name="_Hlk163835445"/>
      <w:r>
        <w:rPr>
          <w:rFonts w:ascii="Times New Roman" w:hAnsi="Times New Roman" w:eastAsia="黑体" w:cs="Times New Roman"/>
          <w:bCs/>
          <w:sz w:val="22"/>
          <w:szCs w:val="24"/>
        </w:rPr>
        <w:t>autonomous rail rapid transit (ART)</w:t>
      </w:r>
      <w:bookmarkEnd w:id="118"/>
      <w:r>
        <w:rPr>
          <w:rFonts w:ascii="Times New Roman" w:hAnsi="Times New Roman" w:eastAsia="黑体" w:cs="Times New Roman"/>
          <w:bCs/>
          <w:sz w:val="22"/>
          <w:szCs w:val="24"/>
        </w:rPr>
        <w:t>, we aim to attract enterprises specializing in next-generation high-efficiency intelligent high-power electric locomotives, energy storage trams, medium and low-speed maglev demonstration trains, and ART trains.</w:t>
      </w:r>
    </w:p>
    <w:p w14:paraId="2EE4820C">
      <w:pPr>
        <w:snapToGrid w:val="0"/>
        <w:spacing w:line="36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Components.</w:t>
      </w:r>
      <w:r>
        <w:rPr>
          <w:rFonts w:ascii="Times New Roman" w:hAnsi="Times New Roman" w:eastAsia="黑体" w:cs="Times New Roman"/>
          <w:bCs/>
          <w:sz w:val="22"/>
          <w:szCs w:val="24"/>
        </w:rPr>
        <w:t xml:space="preserve"> Based on Zhuzhou HTZ, Zhuzhou ETDZ, and Xiangtan HTZ, we aim to attract suppliers of core component including new energy electric drive, new energy motor, electric control, high-voltage high-power IGBT, powered supercapacitor cell, advanced vehicle-mounted sensors, and other core components. Based on Liling ETDZ, Yiyang HTZ, and Loudi ETDZ, we aim to attract suppliers of small and medium-sized components such as gears, brake pads, pistons, fasteners, connectors, etc.</w:t>
      </w:r>
    </w:p>
    <w:p w14:paraId="4D51D72B">
      <w:pPr>
        <w:snapToGrid w:val="0"/>
        <w:jc w:val="center"/>
        <w:rPr>
          <w:rFonts w:ascii="Times New Roman" w:hAnsi="Times New Roman" w:eastAsia="仿宋" w:cs="Times New Roman"/>
          <w:bCs/>
          <w:sz w:val="22"/>
        </w:rPr>
      </w:pPr>
    </w:p>
    <w:p w14:paraId="0E4B4F1C">
      <w:pPr>
        <w:snapToGrid w:val="0"/>
        <w:jc w:val="center"/>
        <w:rPr>
          <w:rFonts w:ascii="Times New Roman" w:hAnsi="Times New Roman" w:eastAsia="仿宋" w:cs="Times New Roman"/>
          <w:bCs/>
          <w:sz w:val="22"/>
        </w:rPr>
      </w:pPr>
    </w:p>
    <w:p w14:paraId="01D8CA91">
      <w:pPr>
        <w:snapToGrid w:val="0"/>
        <w:jc w:val="center"/>
        <w:rPr>
          <w:rFonts w:ascii="Times New Roman" w:hAnsi="Times New Roman" w:eastAsia="仿宋" w:cs="Times New Roman"/>
          <w:bCs/>
          <w:sz w:val="22"/>
        </w:rPr>
      </w:pPr>
    </w:p>
    <w:p w14:paraId="05270EA4">
      <w:pPr>
        <w:snapToGrid w:val="0"/>
        <w:jc w:val="center"/>
        <w:rPr>
          <w:rFonts w:ascii="Times New Roman" w:hAnsi="Times New Roman" w:eastAsia="仿宋" w:cs="Times New Roman"/>
          <w:bCs/>
          <w:sz w:val="22"/>
        </w:rPr>
      </w:pPr>
    </w:p>
    <w:p w14:paraId="59A4725B">
      <w:pPr>
        <w:snapToGrid w:val="0"/>
        <w:jc w:val="center"/>
        <w:rPr>
          <w:rFonts w:ascii="Times New Roman" w:hAnsi="Times New Roman" w:eastAsia="仿宋" w:cs="Times New Roman"/>
          <w:bCs/>
          <w:sz w:val="22"/>
        </w:rPr>
      </w:pPr>
    </w:p>
    <w:p w14:paraId="4FD0E7A2">
      <w:pPr>
        <w:snapToGrid w:val="0"/>
        <w:jc w:val="center"/>
        <w:rPr>
          <w:rFonts w:ascii="Times New Roman" w:hAnsi="Times New Roman" w:eastAsia="仿宋" w:cs="Times New Roman"/>
          <w:bCs/>
          <w:sz w:val="22"/>
        </w:rPr>
      </w:pPr>
    </w:p>
    <w:p w14:paraId="6D9E14CF">
      <w:pPr>
        <w:snapToGrid w:val="0"/>
        <w:jc w:val="center"/>
        <w:rPr>
          <w:rFonts w:ascii="Times New Roman" w:hAnsi="Times New Roman" w:eastAsia="仿宋" w:cs="Times New Roman"/>
          <w:bCs/>
          <w:sz w:val="22"/>
        </w:rPr>
      </w:pPr>
    </w:p>
    <w:p w14:paraId="667E4564">
      <w:pPr>
        <w:snapToGrid w:val="0"/>
        <w:jc w:val="center"/>
        <w:rPr>
          <w:rFonts w:ascii="Times New Roman" w:hAnsi="Times New Roman" w:eastAsia="仿宋" w:cs="Times New Roman"/>
          <w:bCs/>
          <w:sz w:val="22"/>
        </w:rPr>
      </w:pPr>
      <w:r>
        <w:rPr>
          <w:rFonts w:hint="eastAsia" w:ascii="Times New Roman" w:hAnsi="Times New Roman" w:eastAsia="仿宋" w:cs="Times New Roman"/>
          <w:bCs/>
          <w:sz w:val="22"/>
        </w:rPr>
        <w:drawing>
          <wp:anchor distT="0" distB="0" distL="114300" distR="114300" simplePos="0" relativeHeight="251700224" behindDoc="0" locked="0" layoutInCell="1" allowOverlap="1">
            <wp:simplePos x="0" y="0"/>
            <wp:positionH relativeFrom="column">
              <wp:posOffset>-845185</wp:posOffset>
            </wp:positionH>
            <wp:positionV relativeFrom="paragraph">
              <wp:posOffset>101600</wp:posOffset>
            </wp:positionV>
            <wp:extent cx="5596890" cy="3161030"/>
            <wp:effectExtent l="0" t="1219200" r="0" b="1220235"/>
            <wp:wrapNone/>
            <wp:docPr id="1182733221" name="图片 118273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21" name="图片 11827332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rot="16200000">
                      <a:off x="0" y="0"/>
                      <a:ext cx="5599346" cy="3162731"/>
                    </a:xfrm>
                    <a:prstGeom prst="rect">
                      <a:avLst/>
                    </a:prstGeom>
                    <a:noFill/>
                    <a:ln>
                      <a:noFill/>
                    </a:ln>
                  </pic:spPr>
                </pic:pic>
              </a:graphicData>
            </a:graphic>
          </wp:anchor>
        </w:drawing>
      </w:r>
    </w:p>
    <w:p w14:paraId="435560AB">
      <w:pPr>
        <w:snapToGrid w:val="0"/>
        <w:jc w:val="center"/>
        <w:rPr>
          <w:rFonts w:ascii="Times New Roman" w:hAnsi="Times New Roman" w:eastAsia="仿宋" w:cs="Times New Roman"/>
          <w:bCs/>
          <w:sz w:val="22"/>
        </w:rPr>
      </w:pPr>
    </w:p>
    <w:p w14:paraId="5B9D9239">
      <w:pPr>
        <w:snapToGrid w:val="0"/>
        <w:jc w:val="center"/>
        <w:rPr>
          <w:rFonts w:ascii="Times New Roman" w:hAnsi="Times New Roman" w:eastAsia="仿宋" w:cs="Times New Roman"/>
          <w:bCs/>
          <w:sz w:val="22"/>
        </w:rPr>
      </w:pPr>
    </w:p>
    <w:p w14:paraId="26D36C8C">
      <w:pPr>
        <w:snapToGrid w:val="0"/>
        <w:jc w:val="center"/>
        <w:rPr>
          <w:rFonts w:ascii="Times New Roman" w:hAnsi="Times New Roman" w:eastAsia="仿宋" w:cs="Times New Roman"/>
          <w:bCs/>
          <w:sz w:val="22"/>
        </w:rPr>
      </w:pPr>
    </w:p>
    <w:p w14:paraId="7B0B7CD9">
      <w:pPr>
        <w:snapToGrid w:val="0"/>
        <w:jc w:val="center"/>
        <w:rPr>
          <w:rFonts w:ascii="Times New Roman" w:hAnsi="Times New Roman" w:eastAsia="仿宋" w:cs="Times New Roman"/>
          <w:bCs/>
          <w:sz w:val="22"/>
        </w:rPr>
      </w:pPr>
    </w:p>
    <w:p w14:paraId="1B2F8CB1">
      <w:pPr>
        <w:snapToGrid w:val="0"/>
        <w:jc w:val="center"/>
        <w:rPr>
          <w:rFonts w:ascii="Times New Roman" w:hAnsi="Times New Roman" w:eastAsia="仿宋" w:cs="Times New Roman"/>
          <w:bCs/>
          <w:sz w:val="22"/>
        </w:rPr>
      </w:pPr>
    </w:p>
    <w:p w14:paraId="5A8913D6">
      <w:pPr>
        <w:snapToGrid w:val="0"/>
        <w:jc w:val="center"/>
        <w:rPr>
          <w:rFonts w:ascii="Times New Roman" w:hAnsi="Times New Roman" w:eastAsia="仿宋" w:cs="Times New Roman"/>
          <w:bCs/>
          <w:sz w:val="22"/>
        </w:rPr>
      </w:pPr>
    </w:p>
    <w:p w14:paraId="030F0801">
      <w:pPr>
        <w:snapToGrid w:val="0"/>
        <w:jc w:val="center"/>
        <w:rPr>
          <w:rFonts w:ascii="Times New Roman" w:hAnsi="Times New Roman" w:eastAsia="仿宋" w:cs="Times New Roman"/>
          <w:bCs/>
          <w:sz w:val="22"/>
        </w:rPr>
      </w:pPr>
    </w:p>
    <w:p w14:paraId="57C27179">
      <w:pPr>
        <w:snapToGrid w:val="0"/>
        <w:jc w:val="center"/>
        <w:rPr>
          <w:rFonts w:ascii="Times New Roman" w:hAnsi="Times New Roman" w:eastAsia="仿宋" w:cs="Times New Roman"/>
          <w:bCs/>
          <w:sz w:val="22"/>
        </w:rPr>
      </w:pPr>
    </w:p>
    <w:p w14:paraId="03A733CD">
      <w:pPr>
        <w:snapToGrid w:val="0"/>
        <w:jc w:val="center"/>
        <w:rPr>
          <w:rFonts w:ascii="Times New Roman" w:hAnsi="Times New Roman" w:eastAsia="仿宋" w:cs="Times New Roman"/>
          <w:bCs/>
          <w:sz w:val="22"/>
        </w:rPr>
      </w:pPr>
    </w:p>
    <w:p w14:paraId="4C2E46DC">
      <w:pPr>
        <w:snapToGrid w:val="0"/>
        <w:jc w:val="center"/>
        <w:rPr>
          <w:rFonts w:ascii="Times New Roman" w:hAnsi="Times New Roman" w:eastAsia="仿宋" w:cs="Times New Roman"/>
          <w:bCs/>
          <w:sz w:val="22"/>
        </w:rPr>
      </w:pPr>
    </w:p>
    <w:p w14:paraId="49532A04">
      <w:pPr>
        <w:snapToGrid w:val="0"/>
        <w:jc w:val="center"/>
        <w:rPr>
          <w:rFonts w:ascii="Times New Roman" w:hAnsi="Times New Roman" w:eastAsia="仿宋" w:cs="Times New Roman"/>
          <w:bCs/>
          <w:sz w:val="22"/>
        </w:rPr>
      </w:pPr>
    </w:p>
    <w:p w14:paraId="10678670">
      <w:pPr>
        <w:snapToGrid w:val="0"/>
        <w:jc w:val="center"/>
        <w:rPr>
          <w:rFonts w:ascii="Times New Roman" w:hAnsi="Times New Roman" w:eastAsia="仿宋" w:cs="Times New Roman"/>
          <w:bCs/>
          <w:sz w:val="22"/>
        </w:rPr>
      </w:pPr>
    </w:p>
    <w:p w14:paraId="40B66CC0">
      <w:pPr>
        <w:snapToGrid w:val="0"/>
        <w:ind w:firstLine="440" w:firstLineChars="200"/>
        <w:rPr>
          <w:rFonts w:ascii="Times New Roman" w:hAnsi="Times New Roman" w:eastAsia="仿宋" w:cs="Times New Roman"/>
          <w:sz w:val="22"/>
        </w:rPr>
        <w:sectPr>
          <w:pgSz w:w="8391" w:h="11907"/>
          <w:pgMar w:top="1440" w:right="1080" w:bottom="1440" w:left="1080" w:header="680" w:footer="992" w:gutter="0"/>
          <w:cols w:space="720" w:num="1"/>
          <w:docGrid w:type="lines" w:linePitch="381" w:charSpace="0"/>
        </w:sectPr>
      </w:pPr>
    </w:p>
    <w:p w14:paraId="6AAF2031">
      <w:pPr>
        <w:keepNext/>
        <w:snapToGrid w:val="0"/>
        <w:spacing w:afterLines="50" w:line="360" w:lineRule="exact"/>
        <w:jc w:val="center"/>
        <w:outlineLvl w:val="1"/>
        <w:rPr>
          <w:rFonts w:ascii="Times New Roman" w:hAnsi="Times New Roman" w:eastAsia="仿宋" w:cs="Times New Roman"/>
          <w:b/>
          <w:bCs/>
          <w:sz w:val="22"/>
          <w:szCs w:val="24"/>
        </w:rPr>
      </w:pPr>
      <w:bookmarkStart w:id="119" w:name="_Toc163910328"/>
      <w:r>
        <w:rPr>
          <w:rFonts w:ascii="Times New Roman" w:hAnsi="Times New Roman" w:eastAsia="仿宋" w:cs="Times New Roman"/>
          <w:b/>
          <w:bCs/>
          <w:sz w:val="22"/>
          <w:szCs w:val="24"/>
        </w:rPr>
        <w:t>7. Modern Agriculture</w:t>
      </w:r>
      <w:bookmarkEnd w:id="119"/>
    </w:p>
    <w:p w14:paraId="5D437853">
      <w:pPr>
        <w:keepNext/>
        <w:snapToGrid w:val="0"/>
        <w:spacing w:line="360" w:lineRule="exact"/>
        <w:ind w:firstLine="442" w:firstLineChars="200"/>
        <w:outlineLvl w:val="2"/>
        <w:rPr>
          <w:rFonts w:ascii="Times New Roman" w:hAnsi="Times New Roman" w:eastAsia="黑体" w:cs="Times New Roman"/>
          <w:b/>
          <w:sz w:val="22"/>
          <w:szCs w:val="24"/>
        </w:rPr>
      </w:pPr>
      <w:bookmarkStart w:id="120" w:name="_Toc163910329"/>
      <w:r>
        <w:rPr>
          <w:rFonts w:ascii="Times New Roman" w:hAnsi="Times New Roman" w:eastAsia="黑体" w:cs="Times New Roman"/>
          <w:b/>
          <w:sz w:val="22"/>
          <w:szCs w:val="24"/>
        </w:rPr>
        <w:t>(1) Development Status</w:t>
      </w:r>
      <w:bookmarkEnd w:id="120"/>
    </w:p>
    <w:p w14:paraId="63CA92FD">
      <w:pPr>
        <w:snapToGrid w:val="0"/>
        <w:spacing w:line="360" w:lineRule="exact"/>
        <w:ind w:firstLine="440" w:firstLineChars="200"/>
        <w:rPr>
          <w:rFonts w:ascii="Times New Roman" w:hAnsi="Times New Roman" w:eastAsia="黑体" w:cs="Times New Roman"/>
          <w:b/>
          <w:sz w:val="22"/>
        </w:rPr>
      </w:pPr>
      <w:r>
        <w:rPr>
          <w:rFonts w:hint="eastAsia" w:ascii="Times New Roman" w:hAnsi="Times New Roman" w:eastAsia="仿宋" w:cs="Times New Roman"/>
          <w:sz w:val="22"/>
          <w:lang w:val="en-US" w:eastAsia="zh-CN"/>
        </w:rPr>
        <w:t>T</w:t>
      </w:r>
      <w:r>
        <w:rPr>
          <w:rFonts w:ascii="Times New Roman" w:hAnsi="Times New Roman" w:eastAsia="仿宋" w:cs="Times New Roman"/>
          <w:sz w:val="22"/>
        </w:rPr>
        <w:t xml:space="preserve">he total output value along the agricultural industry chain of distinctive 100-billion-output industries in the province reached 1.4 trillion yuan. The province is home to 5,599 leading enterprises above the designated scale, including 79 at the national level and 999 at the provincial level, with a total of 22 agriculture-related listed companies, ranking first among the six central provinces. Additionally, it has 18 companies listed among China’s top 500 agricultural enterprises. </w:t>
      </w:r>
    </w:p>
    <w:p w14:paraId="08302062">
      <w:pPr>
        <w:snapToGrid w:val="0"/>
        <w:spacing w:beforeLines="30"/>
        <w:rPr>
          <w:rFonts w:ascii="Times New Roman" w:hAnsi="Times New Roman" w:eastAsia="黑体" w:cs="Times New Roman"/>
          <w:b/>
          <w:sz w:val="22"/>
        </w:rPr>
      </w:pPr>
      <w:r>
        <w:drawing>
          <wp:inline distT="0" distB="0" distL="0" distR="0">
            <wp:extent cx="3956685" cy="1720215"/>
            <wp:effectExtent l="0" t="0" r="571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3960411" cy="1722240"/>
                    </a:xfrm>
                    <a:prstGeom prst="rect">
                      <a:avLst/>
                    </a:prstGeom>
                    <a:noFill/>
                    <a:ln>
                      <a:noFill/>
                    </a:ln>
                  </pic:spPr>
                </pic:pic>
              </a:graphicData>
            </a:graphic>
          </wp:inline>
        </w:drawing>
      </w:r>
    </w:p>
    <w:p w14:paraId="0E8CE75A">
      <w:pPr>
        <w:keepNext/>
        <w:adjustRightInd w:val="0"/>
        <w:snapToGrid w:val="0"/>
        <w:spacing w:beforeLines="20" w:afterLines="20"/>
        <w:ind w:firstLine="357"/>
        <w:jc w:val="center"/>
        <w:rPr>
          <w:rFonts w:ascii="Times New Roman" w:hAnsi="Times New Roman" w:eastAsia="黑体" w:cs="Times New Roman"/>
          <w:sz w:val="18"/>
          <w:szCs w:val="18"/>
        </w:rPr>
      </w:pPr>
      <w:r>
        <w:rPr>
          <w:rFonts w:ascii="Times New Roman" w:hAnsi="Times New Roman" w:eastAsia="黑体" w:cs="Times New Roman"/>
          <w:sz w:val="18"/>
          <w:szCs w:val="18"/>
        </w:rPr>
        <w:t>Leading companies in modern agriculture</w:t>
      </w:r>
    </w:p>
    <w:p w14:paraId="2A653EE1">
      <w:pPr>
        <w:snapToGrid w:val="0"/>
        <w:spacing w:line="360" w:lineRule="exact"/>
        <w:ind w:firstLine="440" w:firstLineChars="200"/>
        <w:rPr>
          <w:rFonts w:ascii="Times New Roman" w:hAnsi="Times New Roman" w:eastAsia="黑体" w:cs="Times New Roman"/>
          <w:sz w:val="18"/>
          <w:szCs w:val="18"/>
        </w:rPr>
      </w:pPr>
      <w:r>
        <w:rPr>
          <w:rFonts w:ascii="Times New Roman" w:hAnsi="Times New Roman" w:eastAsia="仿宋" w:cs="Times New Roman"/>
          <w:sz w:val="22"/>
        </w:rPr>
        <w:t>The province has established seven national-level industrial clusters, such as “early, mid-season, and late ripening types of citrus”, “high-quality Hunan hogs”, and “vegetable supply for Guangdong, Hong Kong, and Macao”, and eight national modern agricultural industrial parks and 61 national agricultural powerhouses (towns) in Hunan. The province has established 36 national standardized production bases for green food raw materials, with a total area of over 5 million acres.</w:t>
      </w:r>
      <w:r>
        <w:rPr>
          <w:rFonts w:hint="eastAsia" w:ascii="Times New Roman" w:hAnsi="Times New Roman" w:eastAsia="仿宋" w:cs="Times New Roman"/>
          <w:sz w:val="22"/>
        </w:rPr>
        <w:t xml:space="preserve"> </w:t>
      </w:r>
      <w:r>
        <w:rPr>
          <w:rFonts w:ascii="Times New Roman" w:hAnsi="Times New Roman" w:eastAsia="仿宋" w:cs="Times New Roman"/>
          <w:sz w:val="22"/>
        </w:rPr>
        <w:t>Longping High-Tech leads the global research and application of hybrid rice, serving as the largest supplier of hybrid rice seeds nationwide, with a market share of rice seeds over 17%, ranking among the top in China in terms of commercial breeding scale and level. Additionally, Dahu Aquaculture’s aquaculture revenue ranks fourth in the A-share market, making it the largest listed company specializing in freshwater fish farming in China. Companies like Tangrenshen Group</w:t>
      </w:r>
      <w:r>
        <w:rPr>
          <w:rFonts w:hint="eastAsia" w:ascii="Times New Roman" w:hAnsi="Times New Roman" w:eastAsia="仿宋" w:cs="Times New Roman"/>
          <w:sz w:val="22"/>
        </w:rPr>
        <w:t xml:space="preserve"> and</w:t>
      </w:r>
      <w:r>
        <w:rPr>
          <w:rFonts w:ascii="Times New Roman" w:hAnsi="Times New Roman" w:eastAsia="仿宋" w:cs="Times New Roman"/>
          <w:sz w:val="22"/>
        </w:rPr>
        <w:t xml:space="preserve"> Hunan New Wellful are among the top 20 in China’s hog breeding industry.</w:t>
      </w:r>
    </w:p>
    <w:p w14:paraId="05A2A6E2">
      <w:pPr>
        <w:keepNext/>
        <w:snapToGrid w:val="0"/>
        <w:spacing w:line="360" w:lineRule="exact"/>
        <w:ind w:firstLine="442" w:firstLineChars="200"/>
        <w:outlineLvl w:val="2"/>
        <w:rPr>
          <w:rFonts w:ascii="Times New Roman" w:hAnsi="Times New Roman" w:eastAsia="黑体" w:cs="Times New Roman"/>
          <w:b/>
          <w:sz w:val="22"/>
          <w:szCs w:val="24"/>
        </w:rPr>
      </w:pPr>
      <w:bookmarkStart w:id="121" w:name="_Toc163910330"/>
      <w:r>
        <w:rPr>
          <w:rFonts w:ascii="Times New Roman" w:hAnsi="Times New Roman" w:eastAsia="黑体" w:cs="Times New Roman"/>
          <w:b/>
          <w:sz w:val="22"/>
          <w:szCs w:val="24"/>
        </w:rPr>
        <w:t>(2) Development Target</w:t>
      </w:r>
      <w:bookmarkEnd w:id="121"/>
    </w:p>
    <w:p w14:paraId="33001496">
      <w:pPr>
        <w:snapToGrid w:val="0"/>
        <w:spacing w:line="36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By 2027, the comprehensive production capacity of grain will maintain a steady increase, with grain output reaching over 31.5 million tons and the seed industry’s output value reaching 60 billion yuan. Efforts will be made to foster six or more major new varieties.</w:t>
      </w:r>
      <w:r>
        <w:t xml:space="preserve"> </w:t>
      </w:r>
      <w:r>
        <w:rPr>
          <w:rFonts w:ascii="Times New Roman" w:hAnsi="Times New Roman" w:eastAsia="仿宋" w:cs="Times New Roman"/>
          <w:sz w:val="22"/>
        </w:rPr>
        <w:t>The pig industry is further expanding and strengthening, with a stable pig output of around 60 million, creating a national pig export and meat deep processing base.</w:t>
      </w:r>
    </w:p>
    <w:p w14:paraId="3F86C03B">
      <w:pPr>
        <w:keepNext/>
        <w:snapToGrid w:val="0"/>
        <w:spacing w:line="360" w:lineRule="exact"/>
        <w:ind w:firstLine="442" w:firstLineChars="200"/>
        <w:outlineLvl w:val="2"/>
        <w:rPr>
          <w:rFonts w:ascii="Times New Roman" w:hAnsi="Times New Roman" w:eastAsia="黑体" w:cs="Times New Roman"/>
          <w:b/>
          <w:sz w:val="22"/>
          <w:szCs w:val="24"/>
        </w:rPr>
      </w:pPr>
      <w:bookmarkStart w:id="122" w:name="_Toc163910331"/>
      <w:r>
        <w:rPr>
          <w:rFonts w:ascii="Times New Roman" w:hAnsi="Times New Roman" w:eastAsia="黑体" w:cs="Times New Roman"/>
          <w:b/>
          <w:sz w:val="22"/>
          <w:szCs w:val="24"/>
        </w:rPr>
        <w:t>(3) Policy Support</w:t>
      </w:r>
      <w:bookmarkEnd w:id="122"/>
    </w:p>
    <w:p w14:paraId="32B8276E">
      <w:pPr>
        <w:pStyle w:val="85"/>
        <w:numPr>
          <w:ilvl w:val="0"/>
          <w:numId w:val="3"/>
        </w:numPr>
        <w:spacing w:line="340" w:lineRule="exact"/>
        <w:ind w:left="426" w:hanging="142" w:firstLineChars="0"/>
        <w:rPr>
          <w:i/>
          <w:iCs/>
        </w:rPr>
      </w:pPr>
      <w:r>
        <w:rPr>
          <w:i/>
          <w:iCs/>
        </w:rPr>
        <w:t xml:space="preserve">Implementation Guidelines for the CPC Hunan Provincial Committee and People’s Government of Hunan Province on Learning and Applying the Experience of “Remediating 10,000 Villages and Building 1,000 Model Villages” Project to Effectively Promote the Comprehensive Revitalization of Rural </w:t>
      </w:r>
      <w:r>
        <w:rPr>
          <w:rFonts w:cs="仿宋_GB2312"/>
        </w:rPr>
        <mc:AlternateContent>
          <mc:Choice Requires="wps">
            <w:drawing>
              <wp:anchor distT="0" distB="0" distL="114300" distR="114300" simplePos="0" relativeHeight="251684864" behindDoc="0" locked="0" layoutInCell="1" allowOverlap="1">
                <wp:simplePos x="0" y="0"/>
                <wp:positionH relativeFrom="margin">
                  <wp:posOffset>3056255</wp:posOffset>
                </wp:positionH>
                <wp:positionV relativeFrom="margin">
                  <wp:posOffset>152400</wp:posOffset>
                </wp:positionV>
                <wp:extent cx="914400" cy="962025"/>
                <wp:effectExtent l="6350" t="6350" r="8890" b="6985"/>
                <wp:wrapSquare wrapText="bothSides"/>
                <wp:docPr id="46" name="文本框 16"/>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5107E2C7">
                            <w:pPr>
                              <w:pStyle w:val="92"/>
                              <w:adjustRightInd w:val="0"/>
                            </w:pPr>
                            <w:r>
                              <w:drawing>
                                <wp:inline distT="0" distB="0" distL="0" distR="0">
                                  <wp:extent cx="722630" cy="722630"/>
                                  <wp:effectExtent l="0" t="0" r="1270" b="127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60">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73E687DB">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25DFDA25">
                            <w:pPr>
                              <w:pStyle w:val="92"/>
                              <w:adjustRightInd w:val="0"/>
                            </w:pPr>
                          </w:p>
                        </w:txbxContent>
                      </wps:txbx>
                      <wps:bodyPr upright="1"/>
                    </wps:wsp>
                  </a:graphicData>
                </a:graphic>
              </wp:anchor>
            </w:drawing>
          </mc:Choice>
          <mc:Fallback>
            <w:pict>
              <v:shape id="文本框 16" o:spid="_x0000_s1026" o:spt="202" type="#_x0000_t202" style="position:absolute;left:0pt;margin-left:240.65pt;margin-top:12pt;height:75.75pt;width:72pt;mso-position-horizontal-relative:margin;mso-position-vertical-relative:margin;mso-wrap-distance-bottom:0pt;mso-wrap-distance-left:9pt;mso-wrap-distance-right:9pt;mso-wrap-distance-top:0pt;z-index:251684864;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">
                <v:fill on="f" focussize="0,0"/>
                <v:stroke weight="1pt" color="#A8D08D" joinstyle="miter"/>
                <v:imagedata o:title=""/>
                <o:lock v:ext="edit" aspectratio="f"/>
                <v:textbox>
                  <w:txbxContent>
                    <w:p w14:paraId="5107E2C7">
                      <w:pPr>
                        <w:pStyle w:val="92"/>
                        <w:adjustRightInd w:val="0"/>
                      </w:pPr>
                      <w:r>
                        <w:drawing>
                          <wp:inline distT="0" distB="0" distL="0" distR="0">
                            <wp:extent cx="722630" cy="722630"/>
                            <wp:effectExtent l="0" t="0" r="1270" b="127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60">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73E687DB">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25DFDA25">
                      <w:pPr>
                        <w:pStyle w:val="92"/>
                        <w:adjustRightInd w:val="0"/>
                      </w:pPr>
                    </w:p>
                  </w:txbxContent>
                </v:textbox>
                <w10:wrap type="square"/>
              </v:shape>
            </w:pict>
          </mc:Fallback>
        </mc:AlternateContent>
      </w:r>
      <w:r>
        <w:rPr>
          <w:i/>
          <w:iCs/>
        </w:rPr>
        <w:t>Areas</w:t>
      </w:r>
    </w:p>
    <w:p w14:paraId="71046D3F">
      <w:pPr>
        <w:pStyle w:val="85"/>
        <w:numPr>
          <w:ilvl w:val="0"/>
          <w:numId w:val="3"/>
        </w:numPr>
        <w:spacing w:line="340" w:lineRule="exact"/>
        <w:ind w:left="426" w:hanging="142" w:firstLineChars="0"/>
        <w:rPr>
          <w:i/>
          <w:iCs/>
        </w:rPr>
      </w:pPr>
      <w:r>
        <w:rPr>
          <w:i/>
          <w:iCs/>
        </w:rPr>
        <w:t>14th Five-Year Plan for Agricultural and Rural Modernization</w:t>
      </w:r>
    </w:p>
    <w:p w14:paraId="774E985F">
      <w:pPr>
        <w:pStyle w:val="85"/>
        <w:numPr>
          <w:ilvl w:val="0"/>
          <w:numId w:val="3"/>
        </w:numPr>
        <w:spacing w:line="340" w:lineRule="exact"/>
        <w:ind w:left="426" w:hanging="142" w:firstLineChars="0"/>
        <w:rPr>
          <w:i/>
          <w:iCs/>
        </w:rPr>
      </w:pPr>
      <w:r>
        <w:rPr>
          <w:i/>
          <w:iCs/>
        </w:rPr>
        <w:t>14th Five-Year Plan for the Development of Forestry Industry in Hunan Province</w:t>
      </w:r>
    </w:p>
    <w:p w14:paraId="1CE491A0">
      <w:pPr>
        <w:pStyle w:val="85"/>
        <w:numPr>
          <w:ilvl w:val="0"/>
          <w:numId w:val="3"/>
        </w:numPr>
        <w:spacing w:line="340" w:lineRule="exact"/>
        <w:ind w:left="426" w:hanging="142" w:firstLineChars="0"/>
        <w:rPr>
          <w:i/>
          <w:iCs/>
        </w:rPr>
      </w:pPr>
      <w:r>
        <w:rPr>
          <w:i/>
          <w:iCs/>
        </w:rPr>
        <w:t>14th Five-Year Plan for the Development of Grain and Oil Industry in Hunan Province</w:t>
      </w:r>
    </w:p>
    <w:p w14:paraId="442A95C4">
      <w:pPr>
        <w:pStyle w:val="85"/>
        <w:numPr>
          <w:ilvl w:val="0"/>
          <w:numId w:val="3"/>
        </w:numPr>
        <w:spacing w:line="320" w:lineRule="exact"/>
        <w:ind w:left="426" w:hanging="142" w:firstLineChars="0"/>
        <w:rPr>
          <w:i/>
          <w:iCs/>
        </w:rPr>
      </w:pPr>
      <w:r>
        <w:rPr>
          <w:i/>
          <w:iCs/>
        </w:rPr>
        <w:t>14th Five-Year Plan for the Development of Planting Industry in Hunan Province</w:t>
      </w:r>
    </w:p>
    <w:p w14:paraId="46651F64">
      <w:pPr>
        <w:pStyle w:val="85"/>
        <w:numPr>
          <w:ilvl w:val="0"/>
          <w:numId w:val="3"/>
        </w:numPr>
        <w:spacing w:line="320" w:lineRule="exact"/>
        <w:ind w:left="426" w:hanging="142" w:firstLineChars="0"/>
        <w:rPr>
          <w:i/>
          <w:iCs/>
        </w:rPr>
      </w:pPr>
      <w:r>
        <w:rPr>
          <w:i/>
          <w:iCs/>
        </w:rPr>
        <w:t>Several Measures for Promoting High Quality Development of Modern Facility Fisheries in Hunan Province (2024-2026) (Trial)</w:t>
      </w:r>
    </w:p>
    <w:p w14:paraId="5A287929">
      <w:pPr>
        <w:pStyle w:val="85"/>
        <w:numPr>
          <w:ilvl w:val="0"/>
          <w:numId w:val="3"/>
        </w:numPr>
        <w:spacing w:line="320" w:lineRule="exact"/>
        <w:ind w:left="426" w:hanging="142" w:firstLineChars="0"/>
        <w:rPr>
          <w:i/>
          <w:iCs/>
        </w:rPr>
      </w:pPr>
      <w:r>
        <w:rPr>
          <w:i/>
          <w:iCs/>
        </w:rPr>
        <w:t>Development Plan for Camellia Oil Tea Industry to Achieve 100 Billion Yuan Output in Hunan Province (2018-2025)</w:t>
      </w:r>
    </w:p>
    <w:p w14:paraId="0E35BA3F">
      <w:pPr>
        <w:pStyle w:val="85"/>
        <w:numPr>
          <w:ilvl w:val="0"/>
          <w:numId w:val="3"/>
        </w:numPr>
        <w:spacing w:line="320" w:lineRule="exact"/>
        <w:ind w:left="426" w:hanging="142" w:firstLineChars="0"/>
        <w:rPr>
          <w:i/>
          <w:iCs/>
        </w:rPr>
      </w:pPr>
      <w:r>
        <w:rPr>
          <w:i/>
          <w:iCs/>
        </w:rPr>
        <w:t>Management Measures for Special Funds for 100-Billion-Yuan-Output Grain and Oil Industry Project in Hunan Province</w:t>
      </w:r>
    </w:p>
    <w:p w14:paraId="1E36DC94">
      <w:pPr>
        <w:pStyle w:val="85"/>
        <w:numPr>
          <w:ilvl w:val="0"/>
          <w:numId w:val="3"/>
        </w:numPr>
        <w:spacing w:line="320" w:lineRule="exact"/>
        <w:ind w:left="426" w:hanging="142" w:firstLineChars="0"/>
        <w:rPr>
          <w:i/>
          <w:iCs/>
        </w:rPr>
      </w:pPr>
      <w:r>
        <w:rPr>
          <w:i/>
          <w:iCs/>
        </w:rPr>
        <w:t>Notice on Further Increasing Financial Support to Promote the Stable Development of Hog Industry</w:t>
      </w:r>
    </w:p>
    <w:p w14:paraId="4BD406CA">
      <w:pPr>
        <w:rPr>
          <w:i/>
          <w:iCs/>
        </w:rPr>
      </w:pPr>
      <w:r>
        <w:rPr>
          <w:iCs/>
        </w:rPr>
        <mc:AlternateContent>
          <mc:Choice Requires="wps">
            <w:drawing>
              <wp:anchor distT="0" distB="0" distL="114300" distR="114300" simplePos="0" relativeHeight="251668480" behindDoc="0" locked="0" layoutInCell="1" allowOverlap="1">
                <wp:simplePos x="0" y="0"/>
                <wp:positionH relativeFrom="column">
                  <wp:posOffset>146685</wp:posOffset>
                </wp:positionH>
                <wp:positionV relativeFrom="paragraph">
                  <wp:posOffset>99060</wp:posOffset>
                </wp:positionV>
                <wp:extent cx="3896995" cy="1419225"/>
                <wp:effectExtent l="6350" t="97155" r="13335" b="7620"/>
                <wp:wrapNone/>
                <wp:docPr id="25" name="矩形标注 39"/>
                <wp:cNvGraphicFramePr/>
                <a:graphic xmlns:a="http://schemas.openxmlformats.org/drawingml/2006/main">
                  <a:graphicData uri="http://schemas.microsoft.com/office/word/2010/wordprocessingShape">
                    <wps:wsp>
                      <wps:cNvSpPr/>
                      <wps:spPr>
                        <a:xfrm>
                          <a:off x="0" y="0"/>
                          <a:ext cx="3896995" cy="1419225"/>
                        </a:xfrm>
                        <a:prstGeom prst="wedgeRectCallout">
                          <a:avLst>
                            <a:gd name="adj1" fmla="val -41856"/>
                            <a:gd name="adj2" fmla="val -56181"/>
                          </a:avLst>
                        </a:prstGeom>
                        <a:solidFill>
                          <a:srgbClr val="E2EFD9"/>
                        </a:solidFill>
                        <a:ln w="12700" cap="flat" cmpd="sng">
                          <a:solidFill>
                            <a:srgbClr val="A8D08D"/>
                          </a:solidFill>
                          <a:prstDash val="solid"/>
                          <a:miter/>
                          <a:headEnd type="none" w="med" len="med"/>
                          <a:tailEnd type="none" w="med" len="med"/>
                        </a:ln>
                      </wps:spPr>
                      <wps:txbx>
                        <w:txbxContent>
                          <w:p w14:paraId="25120F42">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21784D85">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Innovating credit service models. </w:t>
                            </w:r>
                            <w:r>
                              <w:rPr>
                                <w:rFonts w:ascii="Times New Roman" w:hAnsi="Times New Roman" w:cs="Times New Roman"/>
                                <w:color w:val="3F3F3F" w:themeColor="text1" w:themeTint="BF"/>
                                <w:sz w:val="18"/>
                                <w:szCs w:val="18"/>
                              </w:rPr>
                              <w:t>We are advancing credit-insurance and credit-quarantine coordination, and establishing robust information-sharing mechanisms among relevant departments, financial institutions, and insurance agencies.</w:t>
                            </w:r>
                          </w:p>
                          <w:p w14:paraId="7A14F487">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Enhancing interest subsidies and guarantee support. </w:t>
                            </w:r>
                            <w:r>
                              <w:rPr>
                                <w:rFonts w:ascii="Times New Roman" w:hAnsi="Times New Roman" w:cs="Times New Roman"/>
                                <w:color w:val="3F3F3F" w:themeColor="text1" w:themeTint="BF"/>
                                <w:sz w:val="18"/>
                                <w:szCs w:val="18"/>
                              </w:rPr>
                              <w:t>All enterprises engaged in hog breeding, slaughtering, processing, feed production, and veterinary medicine that qualify as new types of agricultural entities in rural areas will be fully incorporated into the scope of loan interest subsidy support.</w:t>
                            </w:r>
                          </w:p>
                          <w:p w14:paraId="5FB8D5E8">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Refining policy-based hog insurance. </w:t>
                            </w:r>
                            <w:r>
                              <w:rPr>
                                <w:rFonts w:ascii="Times New Roman" w:hAnsi="Times New Roman" w:cs="Times New Roman"/>
                                <w:color w:val="3F3F3F" w:themeColor="text1" w:themeTint="BF"/>
                                <w:sz w:val="18"/>
                                <w:szCs w:val="18"/>
                              </w:rPr>
                              <w:t>Policy-based insurance for breeding sows and fattening pigs in large-scale farms shall be covered as much as possible.</w:t>
                            </w:r>
                          </w:p>
                        </w:txbxContent>
                      </wps:txbx>
                      <wps:bodyPr anchor="ctr" anchorCtr="0" upright="1"/>
                    </wps:wsp>
                  </a:graphicData>
                </a:graphic>
              </wp:anchor>
            </w:drawing>
          </mc:Choice>
          <mc:Fallback>
            <w:pict>
              <v:shape id="矩形标注 39" o:spid="_x0000_s1026" o:spt="61" type="#_x0000_t61" style="position:absolute;left:0pt;margin-left:11.55pt;margin-top:7.8pt;height:111.75pt;width:306.85pt;z-index:251668480;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" adj="1759,-1335">
                <v:fill on="t" focussize="0,0"/>
                <v:stroke weight="1pt" color="#A8D08D" joinstyle="miter"/>
                <v:imagedata o:title=""/>
                <o:lock v:ext="edit" aspectratio="f"/>
                <v:textbox>
                  <w:txbxContent>
                    <w:p w14:paraId="25120F42">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21784D85">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Innovating credit service models. </w:t>
                      </w:r>
                      <w:r>
                        <w:rPr>
                          <w:rFonts w:ascii="Times New Roman" w:hAnsi="Times New Roman" w:cs="Times New Roman"/>
                          <w:color w:val="3F3F3F" w:themeColor="text1" w:themeTint="BF"/>
                          <w:sz w:val="18"/>
                          <w:szCs w:val="18"/>
                        </w:rPr>
                        <w:t>We are advancing credit-insurance and credit-quarantine coordination, and establishing robust information-sharing mechanisms among relevant departments, financial institutions, and insurance agencies.</w:t>
                      </w:r>
                    </w:p>
                    <w:p w14:paraId="7A14F487">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Enhancing interest subsidies and guarantee support. </w:t>
                      </w:r>
                      <w:r>
                        <w:rPr>
                          <w:rFonts w:ascii="Times New Roman" w:hAnsi="Times New Roman" w:cs="Times New Roman"/>
                          <w:color w:val="3F3F3F" w:themeColor="text1" w:themeTint="BF"/>
                          <w:sz w:val="18"/>
                          <w:szCs w:val="18"/>
                        </w:rPr>
                        <w:t>All enterprises engaged in hog breeding, slaughtering, processing, feed production, and veterinary medicine that qualify as new types of agricultural entities in rural areas will be fully incorporated into the scope of loan interest subsidy support.</w:t>
                      </w:r>
                    </w:p>
                    <w:p w14:paraId="5FB8D5E8">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Refining policy-based hog insurance. </w:t>
                      </w:r>
                      <w:r>
                        <w:rPr>
                          <w:rFonts w:ascii="Times New Roman" w:hAnsi="Times New Roman" w:cs="Times New Roman"/>
                          <w:color w:val="3F3F3F" w:themeColor="text1" w:themeTint="BF"/>
                          <w:sz w:val="18"/>
                          <w:szCs w:val="18"/>
                        </w:rPr>
                        <w:t>Policy-based insurance for breeding sows and fattening pigs in large-scale farms shall be covered as much as possible.</w:t>
                      </w:r>
                    </w:p>
                  </w:txbxContent>
                </v:textbox>
              </v:shape>
            </w:pict>
          </mc:Fallback>
        </mc:AlternateContent>
      </w:r>
    </w:p>
    <w:p w14:paraId="3FF2EA4B">
      <w:pPr>
        <w:rPr>
          <w:i/>
          <w:iCs/>
        </w:rPr>
      </w:pPr>
    </w:p>
    <w:p w14:paraId="02CE72DB">
      <w:pPr>
        <w:rPr>
          <w:i/>
          <w:iCs/>
        </w:rPr>
      </w:pPr>
    </w:p>
    <w:p w14:paraId="62E5A223">
      <w:pPr>
        <w:rPr>
          <w:i/>
          <w:iCs/>
        </w:rPr>
      </w:pPr>
    </w:p>
    <w:p w14:paraId="52AD6B15">
      <w:pPr>
        <w:rPr>
          <w:i/>
          <w:iCs/>
        </w:rPr>
      </w:pPr>
    </w:p>
    <w:p w14:paraId="489D7231">
      <w:pPr>
        <w:rPr>
          <w:i/>
          <w:iCs/>
        </w:rPr>
      </w:pPr>
    </w:p>
    <w:p w14:paraId="2F596C42">
      <w:pPr>
        <w:pStyle w:val="85"/>
        <w:numPr>
          <w:ilvl w:val="0"/>
          <w:numId w:val="3"/>
        </w:numPr>
        <w:spacing w:beforeLines="50" w:line="320" w:lineRule="exact"/>
        <w:ind w:left="426" w:hanging="142" w:firstLineChars="0"/>
        <w:rPr>
          <w:i/>
          <w:iCs/>
        </w:rPr>
      </w:pPr>
      <w:r>
        <w:rPr>
          <w:i/>
          <w:iCs/>
        </w:rPr>
        <w:t>Implementation Guidelines for Innovative Investment and Financing Mechanisms Including Debt-Equity Combination Financing for the Construction of High-standard Farmland in Hunan Province</w:t>
      </w:r>
    </w:p>
    <w:p w14:paraId="69D24819">
      <w:pPr>
        <w:rPr>
          <w:i/>
          <w:iCs/>
        </w:rPr>
      </w:pPr>
      <w:r>
        <w:rPr>
          <w:iCs/>
        </w:rPr>
        <mc:AlternateContent>
          <mc:Choice Requires="wps">
            <w:drawing>
              <wp:anchor distT="0" distB="0" distL="114300" distR="114300" simplePos="0" relativeHeight="251669504" behindDoc="0" locked="0" layoutInCell="1" allowOverlap="1">
                <wp:simplePos x="0" y="0"/>
                <wp:positionH relativeFrom="column">
                  <wp:posOffset>146685</wp:posOffset>
                </wp:positionH>
                <wp:positionV relativeFrom="paragraph">
                  <wp:posOffset>106045</wp:posOffset>
                </wp:positionV>
                <wp:extent cx="3896995" cy="1706245"/>
                <wp:effectExtent l="6350" t="115570" r="13335" b="6985"/>
                <wp:wrapNone/>
                <wp:docPr id="27" name="矩形标注 40"/>
                <wp:cNvGraphicFramePr/>
                <a:graphic xmlns:a="http://schemas.openxmlformats.org/drawingml/2006/main">
                  <a:graphicData uri="http://schemas.microsoft.com/office/word/2010/wordprocessingShape">
                    <wps:wsp>
                      <wps:cNvSpPr/>
                      <wps:spPr>
                        <a:xfrm>
                          <a:off x="0" y="0"/>
                          <a:ext cx="3896995" cy="1706245"/>
                        </a:xfrm>
                        <a:prstGeom prst="wedgeRectCallout">
                          <a:avLst>
                            <a:gd name="adj1" fmla="val -41856"/>
                            <a:gd name="adj2" fmla="val -56181"/>
                          </a:avLst>
                        </a:prstGeom>
                        <a:solidFill>
                          <a:srgbClr val="E2EFD9"/>
                        </a:solidFill>
                        <a:ln w="12700" cap="flat" cmpd="sng">
                          <a:solidFill>
                            <a:srgbClr val="A8D08D"/>
                          </a:solidFill>
                          <a:prstDash val="solid"/>
                          <a:miter/>
                          <a:headEnd type="none" w="med" len="med"/>
                          <a:tailEnd type="none" w="med" len="med"/>
                        </a:ln>
                      </wps:spPr>
                      <wps:txbx>
                        <w:txbxContent>
                          <w:p w14:paraId="6C8EF082">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7CD9F76E">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Priority will be given to implementation entities, following a “subsidy right after construction” approach. </w:t>
                            </w:r>
                            <w:r>
                              <w:rPr>
                                <w:rFonts w:ascii="Times New Roman" w:hAnsi="Times New Roman" w:cs="Times New Roman"/>
                                <w:color w:val="3F3F3F" w:themeColor="text1" w:themeTint="BF"/>
                                <w:sz w:val="18"/>
                                <w:szCs w:val="18"/>
                              </w:rPr>
                              <w:t>Subsidies will be granted to entities that pass project acceptance and meet requirements.</w:t>
                            </w:r>
                          </w:p>
                          <w:p w14:paraId="02844E8D">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Financial support will be provided. </w:t>
                            </w:r>
                            <w:r>
                              <w:rPr>
                                <w:rFonts w:ascii="Times New Roman" w:hAnsi="Times New Roman" w:cs="Times New Roman"/>
                                <w:color w:val="3F3F3F" w:themeColor="text1" w:themeTint="BF"/>
                                <w:sz w:val="18"/>
                                <w:szCs w:val="18"/>
                              </w:rPr>
                              <w:t>Encouraging financial institutions to offer medium- to long-term funding and preferential interest rates to projects based on market principles.</w:t>
                            </w:r>
                          </w:p>
                          <w:p w14:paraId="409C810F">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Support will be extended to relevant agricultural projects. </w:t>
                            </w:r>
                            <w:r>
                              <w:rPr>
                                <w:rFonts w:ascii="Times New Roman" w:hAnsi="Times New Roman" w:cs="Times New Roman"/>
                                <w:color w:val="3F3F3F" w:themeColor="text1" w:themeTint="BF"/>
                                <w:sz w:val="18"/>
                                <w:szCs w:val="18"/>
                              </w:rPr>
                              <w:t>Implementation entities carrying out innovative investment and financing projects and meeting the conditions for applying for agricultural projects are eligible to preferential support from provincial fiscal funds allocated for agricultural project funds regarding agricultural land infrastructure.</w:t>
                            </w:r>
                          </w:p>
                        </w:txbxContent>
                      </wps:txbx>
                      <wps:bodyPr anchor="ctr" anchorCtr="0" upright="1"/>
                    </wps:wsp>
                  </a:graphicData>
                </a:graphic>
              </wp:anchor>
            </w:drawing>
          </mc:Choice>
          <mc:Fallback>
            <w:pict>
              <v:shape id="矩形标注 40" o:spid="_x0000_s1026" o:spt="61" type="#_x0000_t61" style="position:absolute;left:0pt;margin-left:11.55pt;margin-top:8.35pt;height:134.35pt;width:306.85pt;z-index:251669504;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" adj="1759,-1335">
                <v:fill on="t" focussize="0,0"/>
                <v:stroke weight="1pt" color="#A8D08D" joinstyle="miter"/>
                <v:imagedata o:title=""/>
                <o:lock v:ext="edit" aspectratio="f"/>
                <v:textbox>
                  <w:txbxContent>
                    <w:p w14:paraId="6C8EF082">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7CD9F76E">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Priority will be given to implementation entities, following a “subsidy right after construction” approach. </w:t>
                      </w:r>
                      <w:r>
                        <w:rPr>
                          <w:rFonts w:ascii="Times New Roman" w:hAnsi="Times New Roman" w:cs="Times New Roman"/>
                          <w:color w:val="3F3F3F" w:themeColor="text1" w:themeTint="BF"/>
                          <w:sz w:val="18"/>
                          <w:szCs w:val="18"/>
                        </w:rPr>
                        <w:t>Subsidies will be granted to entities that pass project acceptance and meet requirements.</w:t>
                      </w:r>
                    </w:p>
                    <w:p w14:paraId="02844E8D">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Financial support will be provided. </w:t>
                      </w:r>
                      <w:r>
                        <w:rPr>
                          <w:rFonts w:ascii="Times New Roman" w:hAnsi="Times New Roman" w:cs="Times New Roman"/>
                          <w:color w:val="3F3F3F" w:themeColor="text1" w:themeTint="BF"/>
                          <w:sz w:val="18"/>
                          <w:szCs w:val="18"/>
                        </w:rPr>
                        <w:t>Encouraging financial institutions to offer medium- to long-term funding and preferential interest rates to projects based on market principles.</w:t>
                      </w:r>
                    </w:p>
                    <w:p w14:paraId="409C810F">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Support will be extended to relevant agricultural projects. </w:t>
                      </w:r>
                      <w:r>
                        <w:rPr>
                          <w:rFonts w:ascii="Times New Roman" w:hAnsi="Times New Roman" w:cs="Times New Roman"/>
                          <w:color w:val="3F3F3F" w:themeColor="text1" w:themeTint="BF"/>
                          <w:sz w:val="18"/>
                          <w:szCs w:val="18"/>
                        </w:rPr>
                        <w:t>Implementation entities carrying out innovative investment and financing projects and meeting the conditions for applying for agricultural projects are eligible to preferential support from provincial fiscal funds allocated for agricultural project funds regarding agricultural land infrastructure.</w:t>
                      </w:r>
                    </w:p>
                  </w:txbxContent>
                </v:textbox>
              </v:shape>
            </w:pict>
          </mc:Fallback>
        </mc:AlternateContent>
      </w:r>
    </w:p>
    <w:p w14:paraId="7E3DCC89">
      <w:pPr>
        <w:rPr>
          <w:i/>
          <w:iCs/>
        </w:rPr>
      </w:pPr>
    </w:p>
    <w:p w14:paraId="34860C79">
      <w:pPr>
        <w:rPr>
          <w:i/>
          <w:iCs/>
        </w:rPr>
      </w:pPr>
    </w:p>
    <w:p w14:paraId="59074BFA">
      <w:pPr>
        <w:rPr>
          <w:i/>
          <w:iCs/>
        </w:rPr>
      </w:pPr>
    </w:p>
    <w:p w14:paraId="6FD3650E">
      <w:pPr>
        <w:rPr>
          <w:i/>
          <w:iCs/>
        </w:rPr>
      </w:pPr>
    </w:p>
    <w:p w14:paraId="7174A142">
      <w:pPr>
        <w:rPr>
          <w:i/>
          <w:iCs/>
        </w:rPr>
      </w:pPr>
    </w:p>
    <w:p w14:paraId="5C99090C">
      <w:pPr>
        <w:rPr>
          <w:i/>
          <w:iCs/>
        </w:rPr>
      </w:pPr>
    </w:p>
    <w:p w14:paraId="5E6B4A32">
      <w:pPr>
        <w:rPr>
          <w:i/>
          <w:iCs/>
        </w:rPr>
      </w:pPr>
    </w:p>
    <w:p w14:paraId="19271088">
      <w:pPr>
        <w:snapToGrid w:val="0"/>
        <w:spacing w:before="120" w:after="48" w:line="360" w:lineRule="exact"/>
        <w:jc w:val="center"/>
        <w:rPr>
          <w:rFonts w:ascii="Times New Roman" w:hAnsi="Times New Roman" w:eastAsia="仿宋" w:cs="Times New Roman"/>
          <w:sz w:val="18"/>
          <w:szCs w:val="16"/>
        </w:rPr>
      </w:pPr>
      <w:r>
        <w:rPr>
          <w:rFonts w:ascii="Times New Roman" w:hAnsi="Times New Roman" w:eastAsia="仿宋" w:cs="Times New Roman"/>
          <w:sz w:val="18"/>
          <w:szCs w:val="20"/>
        </w:rPr>
        <w:t>Funds supporting the modern agriculture industry</w:t>
      </w:r>
    </w:p>
    <w:tbl>
      <w:tblPr>
        <w:tblStyle w:val="44"/>
        <w:tblW w:w="5000" w:type="pct"/>
        <w:jc w:val="center"/>
        <w:tblBorders>
          <w:top w:val="single" w:color="9BBB59" w:sz="4" w:space="0"/>
          <w:left w:val="none" w:color="auto" w:sz="0" w:space="0"/>
          <w:bottom w:val="single" w:color="9BBB59"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96"/>
        <w:gridCol w:w="1319"/>
        <w:gridCol w:w="1969"/>
        <w:gridCol w:w="547"/>
        <w:gridCol w:w="738"/>
        <w:gridCol w:w="1478"/>
      </w:tblGrid>
      <w:tr w14:paraId="68FD36C2">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blHeader/>
          <w:jc w:val="center"/>
        </w:trPr>
        <w:tc>
          <w:tcPr>
            <w:tcW w:w="307" w:type="pct"/>
            <w:tcBorders>
              <w:bottom w:val="single" w:color="9BBB59" w:sz="4" w:space="0"/>
            </w:tcBorders>
            <w:vAlign w:val="center"/>
          </w:tcPr>
          <w:p w14:paraId="3E4B3750">
            <w:pPr>
              <w:suppressAutoHyphens/>
              <w:adjustRightInd w:val="0"/>
              <w:snapToGrid w:val="0"/>
              <w:spacing w:line="200" w:lineRule="exact"/>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No.</w:t>
            </w:r>
          </w:p>
        </w:tc>
        <w:tc>
          <w:tcPr>
            <w:tcW w:w="1023" w:type="pct"/>
            <w:tcBorders>
              <w:bottom w:val="single" w:color="9BBB59" w:sz="4" w:space="0"/>
            </w:tcBorders>
            <w:vAlign w:val="center"/>
          </w:tcPr>
          <w:p w14:paraId="1BFCE607">
            <w:pPr>
              <w:suppressAutoHyphens/>
              <w:adjustRightInd w:val="0"/>
              <w:snapToGrid w:val="0"/>
              <w:spacing w:line="200" w:lineRule="exact"/>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Fund</w:t>
            </w:r>
          </w:p>
        </w:tc>
        <w:tc>
          <w:tcPr>
            <w:tcW w:w="1527" w:type="pct"/>
            <w:tcBorders>
              <w:bottom w:val="single" w:color="9BBB59" w:sz="4" w:space="0"/>
            </w:tcBorders>
            <w:vAlign w:val="center"/>
          </w:tcPr>
          <w:p w14:paraId="0B85C9F2">
            <w:pPr>
              <w:suppressAutoHyphens/>
              <w:adjustRightInd w:val="0"/>
              <w:snapToGrid w:val="0"/>
              <w:spacing w:line="200" w:lineRule="exact"/>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Sector</w:t>
            </w:r>
          </w:p>
        </w:tc>
        <w:tc>
          <w:tcPr>
            <w:tcW w:w="424" w:type="pct"/>
            <w:tcBorders>
              <w:bottom w:val="single" w:color="9BBB59" w:sz="4" w:space="0"/>
            </w:tcBorders>
            <w:vAlign w:val="center"/>
          </w:tcPr>
          <w:p w14:paraId="27471128">
            <w:pPr>
              <w:suppressAutoHyphens/>
              <w:adjustRightInd w:val="0"/>
              <w:snapToGrid w:val="0"/>
              <w:spacing w:line="200" w:lineRule="exact"/>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Est. Time</w:t>
            </w:r>
          </w:p>
        </w:tc>
        <w:tc>
          <w:tcPr>
            <w:tcW w:w="572" w:type="pct"/>
            <w:tcBorders>
              <w:bottom w:val="single" w:color="9BBB59" w:sz="4" w:space="0"/>
            </w:tcBorders>
            <w:vAlign w:val="center"/>
          </w:tcPr>
          <w:p w14:paraId="4952C2AE">
            <w:pPr>
              <w:suppressAutoHyphens/>
              <w:adjustRightInd w:val="0"/>
              <w:snapToGrid w:val="0"/>
              <w:spacing w:line="200" w:lineRule="exact"/>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Scale (RMB)</w:t>
            </w:r>
          </w:p>
        </w:tc>
        <w:tc>
          <w:tcPr>
            <w:tcW w:w="1146" w:type="pct"/>
            <w:tcBorders>
              <w:bottom w:val="single" w:color="9BBB59" w:sz="4" w:space="0"/>
            </w:tcBorders>
            <w:vAlign w:val="center"/>
          </w:tcPr>
          <w:p w14:paraId="56FDD8E7">
            <w:pPr>
              <w:suppressAutoHyphens/>
              <w:adjustRightInd w:val="0"/>
              <w:snapToGrid w:val="0"/>
              <w:spacing w:line="200" w:lineRule="exact"/>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Remarks</w:t>
            </w:r>
          </w:p>
        </w:tc>
      </w:tr>
      <w:tr w14:paraId="5F9DBF16">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07" w:type="pct"/>
            <w:shd w:val="clear" w:color="auto" w:fill="EAF1DD"/>
            <w:vAlign w:val="center"/>
          </w:tcPr>
          <w:p w14:paraId="64504C8F">
            <w:pPr>
              <w:suppressAutoHyphens/>
              <w:adjustRightInd w:val="0"/>
              <w:snapToGrid w:val="0"/>
              <w:spacing w:line="200" w:lineRule="exact"/>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1</w:t>
            </w:r>
          </w:p>
        </w:tc>
        <w:tc>
          <w:tcPr>
            <w:tcW w:w="1023" w:type="pct"/>
            <w:shd w:val="clear" w:color="auto" w:fill="EAF1DD"/>
            <w:vAlign w:val="center"/>
          </w:tcPr>
          <w:p w14:paraId="05D438FA">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Hunan Agricultural Industry Prosperity Fund and China Resources Sanxiang Joint Fund</w:t>
            </w:r>
          </w:p>
        </w:tc>
        <w:tc>
          <w:tcPr>
            <w:tcW w:w="1527" w:type="pct"/>
            <w:shd w:val="clear" w:color="auto" w:fill="EAF1DD"/>
            <w:vAlign w:val="center"/>
          </w:tcPr>
          <w:p w14:paraId="335C422D">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Hunan’s agricultural industry to help Hunan’s high-quality agriproducts enter the Hong Kong and international markets.</w:t>
            </w:r>
          </w:p>
        </w:tc>
        <w:tc>
          <w:tcPr>
            <w:tcW w:w="424" w:type="pct"/>
            <w:shd w:val="clear" w:color="auto" w:fill="EAF1DD"/>
            <w:vAlign w:val="center"/>
          </w:tcPr>
          <w:p w14:paraId="565C7BE6">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2018</w:t>
            </w:r>
          </w:p>
        </w:tc>
        <w:tc>
          <w:tcPr>
            <w:tcW w:w="572" w:type="pct"/>
            <w:shd w:val="clear" w:color="auto" w:fill="EAF1DD"/>
            <w:vAlign w:val="center"/>
          </w:tcPr>
          <w:p w14:paraId="751D8DFF">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3 billion</w:t>
            </w:r>
          </w:p>
        </w:tc>
        <w:tc>
          <w:tcPr>
            <w:tcW w:w="1146" w:type="pct"/>
            <w:shd w:val="clear" w:color="auto" w:fill="EAF1DD"/>
            <w:vAlign w:val="center"/>
          </w:tcPr>
          <w:p w14:paraId="09A66E27">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Jointly initiated by Hunan Chasing Financial Holdings and China Resources Group.</w:t>
            </w:r>
          </w:p>
        </w:tc>
      </w:tr>
      <w:tr w14:paraId="1CFDA5F4">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12" w:hRule="atLeast"/>
          <w:jc w:val="center"/>
        </w:trPr>
        <w:tc>
          <w:tcPr>
            <w:tcW w:w="307" w:type="pct"/>
            <w:vAlign w:val="center"/>
          </w:tcPr>
          <w:p w14:paraId="646CBD7F">
            <w:pPr>
              <w:suppressAutoHyphens/>
              <w:adjustRightInd w:val="0"/>
              <w:snapToGrid w:val="0"/>
              <w:spacing w:line="200" w:lineRule="exact"/>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2</w:t>
            </w:r>
          </w:p>
        </w:tc>
        <w:tc>
          <w:tcPr>
            <w:tcW w:w="1023" w:type="pct"/>
            <w:vAlign w:val="center"/>
          </w:tcPr>
          <w:p w14:paraId="05367133">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Zhuzhou Advanced Industry Cluster Development Fund of Funds (FOF)</w:t>
            </w:r>
          </w:p>
        </w:tc>
        <w:tc>
          <w:tcPr>
            <w:tcW w:w="1527" w:type="pct"/>
            <w:vAlign w:val="center"/>
          </w:tcPr>
          <w:p w14:paraId="555272F2">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13 iconic industrial chains such as green agricultural product processing</w:t>
            </w:r>
          </w:p>
        </w:tc>
        <w:tc>
          <w:tcPr>
            <w:tcW w:w="424" w:type="pct"/>
            <w:vAlign w:val="center"/>
          </w:tcPr>
          <w:p w14:paraId="4FCFD168">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2022</w:t>
            </w:r>
          </w:p>
        </w:tc>
        <w:tc>
          <w:tcPr>
            <w:tcW w:w="572" w:type="pct"/>
            <w:vAlign w:val="center"/>
          </w:tcPr>
          <w:p w14:paraId="4ED6FEAF">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Phase Ⅰ: 5 billion</w:t>
            </w:r>
          </w:p>
        </w:tc>
        <w:tc>
          <w:tcPr>
            <w:tcW w:w="1146" w:type="pct"/>
            <w:vAlign w:val="center"/>
          </w:tcPr>
          <w:p w14:paraId="2AC06254">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Led by Zhuzhou Municipal People’s Government, with Hunan Chasing Financial Holdings and Zhuzhou State-owned Enterprises as major sponsors</w:t>
            </w:r>
          </w:p>
        </w:tc>
      </w:tr>
      <w:tr w14:paraId="417C2F44">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07" w:type="pct"/>
            <w:shd w:val="clear" w:color="auto" w:fill="EAF1DD"/>
            <w:vAlign w:val="center"/>
          </w:tcPr>
          <w:p w14:paraId="4B71BB51">
            <w:pPr>
              <w:suppressAutoHyphens/>
              <w:adjustRightInd w:val="0"/>
              <w:snapToGrid w:val="0"/>
              <w:spacing w:line="200" w:lineRule="exact"/>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3</w:t>
            </w:r>
          </w:p>
        </w:tc>
        <w:tc>
          <w:tcPr>
            <w:tcW w:w="1023" w:type="pct"/>
            <w:shd w:val="clear" w:color="auto" w:fill="EAF1DD"/>
            <w:vAlign w:val="center"/>
          </w:tcPr>
          <w:p w14:paraId="12446C8A">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Xiangtan Modern Agricultural Industry Development Fund</w:t>
            </w:r>
          </w:p>
        </w:tc>
        <w:tc>
          <w:tcPr>
            <w:tcW w:w="1527" w:type="pct"/>
            <w:shd w:val="clear" w:color="auto" w:fill="EAF1DD"/>
            <w:vAlign w:val="center"/>
          </w:tcPr>
          <w:p w14:paraId="0AA4319A">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 xml:space="preserve">Public welfare projects such as farmland water conservancy, rural facilities, intelligent agriculture, etc., quasi-public welfare projects such as water supply and water conservation, and projects for the three-industry integration </w:t>
            </w:r>
          </w:p>
        </w:tc>
        <w:tc>
          <w:tcPr>
            <w:tcW w:w="424" w:type="pct"/>
            <w:shd w:val="clear" w:color="auto" w:fill="EAF1DD"/>
            <w:vAlign w:val="center"/>
          </w:tcPr>
          <w:p w14:paraId="11C000B0">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2016</w:t>
            </w:r>
          </w:p>
        </w:tc>
        <w:tc>
          <w:tcPr>
            <w:tcW w:w="572" w:type="pct"/>
            <w:shd w:val="clear" w:color="auto" w:fill="EAF1DD"/>
            <w:vAlign w:val="center"/>
          </w:tcPr>
          <w:p w14:paraId="102BEFD2">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5 billion; phase Ⅰ: 800 million</w:t>
            </w:r>
          </w:p>
        </w:tc>
        <w:tc>
          <w:tcPr>
            <w:tcW w:w="1146" w:type="pct"/>
            <w:shd w:val="clear" w:color="auto" w:fill="EAF1DD"/>
            <w:vAlign w:val="center"/>
          </w:tcPr>
          <w:p w14:paraId="1F3CFAC8">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Led by Xiangtan Agricultural Committee, based on Xiangtan Industrial Investment Development Group</w:t>
            </w:r>
          </w:p>
        </w:tc>
      </w:tr>
      <w:tr w14:paraId="4BAF1433">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07" w:type="pct"/>
            <w:vAlign w:val="center"/>
          </w:tcPr>
          <w:p w14:paraId="05258F5C">
            <w:pPr>
              <w:suppressAutoHyphens/>
              <w:adjustRightInd w:val="0"/>
              <w:snapToGrid w:val="0"/>
              <w:spacing w:line="200" w:lineRule="exact"/>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4</w:t>
            </w:r>
          </w:p>
        </w:tc>
        <w:tc>
          <w:tcPr>
            <w:tcW w:w="1023" w:type="pct"/>
            <w:vAlign w:val="center"/>
          </w:tcPr>
          <w:p w14:paraId="4CA735D1">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Hengyang Industrial Investment Fund</w:t>
            </w:r>
          </w:p>
        </w:tc>
        <w:tc>
          <w:tcPr>
            <w:tcW w:w="1527" w:type="pct"/>
            <w:vAlign w:val="center"/>
          </w:tcPr>
          <w:p w14:paraId="44A5443D">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Modern agriculture and other areas.</w:t>
            </w:r>
          </w:p>
        </w:tc>
        <w:tc>
          <w:tcPr>
            <w:tcW w:w="424" w:type="pct"/>
            <w:vAlign w:val="center"/>
          </w:tcPr>
          <w:p w14:paraId="59F3F8BF">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2018</w:t>
            </w:r>
          </w:p>
        </w:tc>
        <w:tc>
          <w:tcPr>
            <w:tcW w:w="572" w:type="pct"/>
            <w:vAlign w:val="center"/>
          </w:tcPr>
          <w:p w14:paraId="21685CED">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3 billion</w:t>
            </w:r>
          </w:p>
        </w:tc>
        <w:tc>
          <w:tcPr>
            <w:tcW w:w="1146" w:type="pct"/>
            <w:vAlign w:val="center"/>
          </w:tcPr>
          <w:p w14:paraId="6B1CEBFC">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Jointly initiated by Hengyang Municipal People’s Government and Hunan Chasing Financial Holdings</w:t>
            </w:r>
          </w:p>
        </w:tc>
      </w:tr>
      <w:tr w14:paraId="09A03BA0">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07" w:type="pct"/>
            <w:shd w:val="clear" w:color="auto" w:fill="EAF1DD"/>
            <w:vAlign w:val="center"/>
          </w:tcPr>
          <w:p w14:paraId="7951A760">
            <w:pPr>
              <w:suppressAutoHyphens/>
              <w:adjustRightInd w:val="0"/>
              <w:snapToGrid w:val="0"/>
              <w:spacing w:line="200" w:lineRule="exact"/>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5</w:t>
            </w:r>
          </w:p>
        </w:tc>
        <w:tc>
          <w:tcPr>
            <w:tcW w:w="1023" w:type="pct"/>
            <w:shd w:val="clear" w:color="auto" w:fill="EAF1DD"/>
            <w:vAlign w:val="center"/>
          </w:tcPr>
          <w:p w14:paraId="6FCB8EC3">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Changde Modern Agricultural Industry Investment Fund</w:t>
            </w:r>
          </w:p>
        </w:tc>
        <w:tc>
          <w:tcPr>
            <w:tcW w:w="1527" w:type="pct"/>
            <w:shd w:val="clear" w:color="auto" w:fill="EAF1DD"/>
            <w:vAlign w:val="center"/>
          </w:tcPr>
          <w:p w14:paraId="1B377059">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city-wide dairy industry, hog farming industry chain, agricultural complex, grain and oil food processing, and oil tea processing</w:t>
            </w:r>
          </w:p>
        </w:tc>
        <w:tc>
          <w:tcPr>
            <w:tcW w:w="424" w:type="pct"/>
            <w:shd w:val="clear" w:color="auto" w:fill="EAF1DD"/>
            <w:vAlign w:val="center"/>
          </w:tcPr>
          <w:p w14:paraId="71421B62">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2020</w:t>
            </w:r>
          </w:p>
        </w:tc>
        <w:tc>
          <w:tcPr>
            <w:tcW w:w="572" w:type="pct"/>
            <w:shd w:val="clear" w:color="auto" w:fill="EAF1DD"/>
            <w:vAlign w:val="center"/>
          </w:tcPr>
          <w:p w14:paraId="60C1C478">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100 million</w:t>
            </w:r>
          </w:p>
        </w:tc>
        <w:tc>
          <w:tcPr>
            <w:tcW w:w="1146" w:type="pct"/>
            <w:shd w:val="clear" w:color="auto" w:fill="EAF1DD"/>
            <w:vAlign w:val="center"/>
          </w:tcPr>
          <w:p w14:paraId="02B21756">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Jointly established by Hunan Modern Agriculture Industry Investment Fund Management and Changde Chasing Financial Holdings</w:t>
            </w:r>
          </w:p>
        </w:tc>
      </w:tr>
      <w:tr w14:paraId="047A3699">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07" w:type="pct"/>
            <w:vAlign w:val="center"/>
          </w:tcPr>
          <w:p w14:paraId="490C664F">
            <w:pPr>
              <w:suppressAutoHyphens/>
              <w:adjustRightInd w:val="0"/>
              <w:snapToGrid w:val="0"/>
              <w:spacing w:line="200" w:lineRule="exact"/>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6</w:t>
            </w:r>
          </w:p>
        </w:tc>
        <w:tc>
          <w:tcPr>
            <w:tcW w:w="1023" w:type="pct"/>
            <w:vAlign w:val="center"/>
          </w:tcPr>
          <w:p w14:paraId="073293C5">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Yiyang Agricultural Industry Fund</w:t>
            </w:r>
          </w:p>
        </w:tc>
        <w:tc>
          <w:tcPr>
            <w:tcW w:w="1527" w:type="pct"/>
            <w:vAlign w:val="center"/>
          </w:tcPr>
          <w:p w14:paraId="670E83FE">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All businesses related to seeds, deep processing of grain, oil and other food, and supply chain distribution, with a focus on building high-standard farmland</w:t>
            </w:r>
          </w:p>
        </w:tc>
        <w:tc>
          <w:tcPr>
            <w:tcW w:w="424" w:type="pct"/>
            <w:vAlign w:val="center"/>
          </w:tcPr>
          <w:p w14:paraId="5D738189">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2023</w:t>
            </w:r>
          </w:p>
        </w:tc>
        <w:tc>
          <w:tcPr>
            <w:tcW w:w="572" w:type="pct"/>
            <w:vAlign w:val="center"/>
          </w:tcPr>
          <w:p w14:paraId="3FAD49EA">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w:t>
            </w:r>
          </w:p>
        </w:tc>
        <w:tc>
          <w:tcPr>
            <w:tcW w:w="1146" w:type="pct"/>
            <w:vAlign w:val="center"/>
          </w:tcPr>
          <w:p w14:paraId="3D1CF3EA">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Jointly established by Yiyang Municipal People’s Government and Hunan Agriculture Group</w:t>
            </w:r>
          </w:p>
        </w:tc>
      </w:tr>
      <w:tr w14:paraId="723D3B35">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07" w:type="pct"/>
            <w:shd w:val="clear" w:color="auto" w:fill="EAF1DD"/>
            <w:vAlign w:val="center"/>
          </w:tcPr>
          <w:p w14:paraId="1D0E1FFA">
            <w:pPr>
              <w:suppressAutoHyphens/>
              <w:adjustRightInd w:val="0"/>
              <w:snapToGrid w:val="0"/>
              <w:spacing w:line="200" w:lineRule="exact"/>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7</w:t>
            </w:r>
          </w:p>
        </w:tc>
        <w:tc>
          <w:tcPr>
            <w:tcW w:w="1023" w:type="pct"/>
            <w:shd w:val="clear" w:color="auto" w:fill="EAF1DD"/>
            <w:vAlign w:val="center"/>
          </w:tcPr>
          <w:p w14:paraId="5EDBFD35">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Xiangnan Navel Orange Industry Fund</w:t>
            </w:r>
          </w:p>
        </w:tc>
        <w:tc>
          <w:tcPr>
            <w:tcW w:w="1527" w:type="pct"/>
            <w:shd w:val="clear" w:color="auto" w:fill="EAF1DD"/>
            <w:vAlign w:val="center"/>
          </w:tcPr>
          <w:p w14:paraId="3FAC8DCD">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Seedling, cold chain storage, and self-support sales, with afocus on the integration of the citrus (navel orange) industry chain</w:t>
            </w:r>
          </w:p>
        </w:tc>
        <w:tc>
          <w:tcPr>
            <w:tcW w:w="424" w:type="pct"/>
            <w:shd w:val="clear" w:color="auto" w:fill="EAF1DD"/>
            <w:vAlign w:val="center"/>
          </w:tcPr>
          <w:p w14:paraId="49423E1D">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2020</w:t>
            </w:r>
          </w:p>
        </w:tc>
        <w:tc>
          <w:tcPr>
            <w:tcW w:w="572" w:type="pct"/>
            <w:shd w:val="clear" w:color="auto" w:fill="EAF1DD"/>
            <w:vAlign w:val="center"/>
          </w:tcPr>
          <w:p w14:paraId="467929D1">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w:t>
            </w:r>
          </w:p>
        </w:tc>
        <w:tc>
          <w:tcPr>
            <w:tcW w:w="1146" w:type="pct"/>
            <w:shd w:val="clear" w:color="auto" w:fill="EAF1DD"/>
            <w:vAlign w:val="center"/>
          </w:tcPr>
          <w:p w14:paraId="1C2BFD50">
            <w:pPr>
              <w:suppressAutoHyphens/>
              <w:adjustRightInd w:val="0"/>
              <w:snapToGrid w:val="0"/>
              <w:spacing w:line="200" w:lineRule="exact"/>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Jointly established by CAWM (Yongzhou) Cold Chain Logistics and Dao County People’s Government</w:t>
            </w:r>
          </w:p>
        </w:tc>
      </w:tr>
    </w:tbl>
    <w:p w14:paraId="29FA631B">
      <w:pPr>
        <w:snapToGrid w:val="0"/>
        <w:spacing w:line="360" w:lineRule="exact"/>
        <w:ind w:firstLine="402" w:firstLineChars="200"/>
        <w:rPr>
          <w:rFonts w:ascii="Times New Roman" w:hAnsi="Times New Roman" w:eastAsia="黑体" w:cs="Times New Roman"/>
          <w:b/>
          <w:sz w:val="20"/>
          <w:szCs w:val="21"/>
        </w:rPr>
      </w:pPr>
    </w:p>
    <w:p w14:paraId="6D15402C">
      <w:pPr>
        <w:keepNext/>
        <w:snapToGrid w:val="0"/>
        <w:spacing w:line="360" w:lineRule="exact"/>
        <w:ind w:firstLine="442" w:firstLineChars="200"/>
        <w:outlineLvl w:val="2"/>
        <w:rPr>
          <w:rFonts w:ascii="Times New Roman" w:hAnsi="Times New Roman" w:eastAsia="黑体" w:cs="Times New Roman"/>
          <w:b/>
          <w:sz w:val="22"/>
          <w:szCs w:val="24"/>
        </w:rPr>
      </w:pPr>
      <w:bookmarkStart w:id="123" w:name="_Toc163910332"/>
      <w:r>
        <w:rPr>
          <w:rFonts w:ascii="Times New Roman" w:hAnsi="Times New Roman" w:eastAsia="黑体" w:cs="Times New Roman"/>
          <w:b/>
          <w:sz w:val="22"/>
          <w:szCs w:val="24"/>
        </w:rPr>
        <w:t>(4) Investment O</w:t>
      </w:r>
      <w:r>
        <w:rPr>
          <w:rFonts w:hint="eastAsia" w:ascii="Times New Roman" w:hAnsi="Times New Roman" w:eastAsia="黑体" w:cs="Times New Roman"/>
          <w:b/>
          <w:sz w:val="22"/>
          <w:szCs w:val="24"/>
        </w:rPr>
        <w:t>rientation</w:t>
      </w:r>
      <w:r>
        <w:rPr>
          <w:rFonts w:ascii="Times New Roman" w:hAnsi="Times New Roman" w:eastAsia="黑体" w:cs="Times New Roman"/>
          <w:b/>
          <w:sz w:val="22"/>
          <w:szCs w:val="24"/>
        </w:rPr>
        <w:t xml:space="preserve"> and Industrial Layout</w:t>
      </w:r>
      <w:bookmarkEnd w:id="123"/>
    </w:p>
    <w:p w14:paraId="5FC8BCFC">
      <w:pPr>
        <w:snapToGrid w:val="0"/>
        <w:spacing w:line="360" w:lineRule="exact"/>
        <w:ind w:firstLine="442" w:firstLineChars="200"/>
        <w:rPr>
          <w:rFonts w:ascii="Times New Roman" w:hAnsi="Times New Roman" w:eastAsia="黑体" w:cs="Times New Roman"/>
          <w:bCs/>
          <w:sz w:val="22"/>
          <w:szCs w:val="24"/>
        </w:rPr>
      </w:pPr>
      <w:bookmarkStart w:id="124" w:name="_Hlk163835725"/>
      <w:r>
        <w:rPr>
          <w:rFonts w:ascii="Times New Roman" w:hAnsi="Times New Roman" w:eastAsia="黑体" w:cs="Times New Roman"/>
          <w:b/>
          <w:sz w:val="22"/>
          <w:szCs w:val="24"/>
        </w:rPr>
        <w:t>Grain production</w:t>
      </w:r>
      <w:bookmarkEnd w:id="124"/>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counties known as national commodity grain bases and major grain-producing areas, we aim to attract enterprises specializing in early rice seedling cultivation, integrated rice field farming, and grain and bean crops (excluding rice and wheat).</w:t>
      </w:r>
    </w:p>
    <w:p w14:paraId="268F860F">
      <w:pPr>
        <w:snapToGrid w:val="0"/>
        <w:spacing w:line="360" w:lineRule="exact"/>
        <w:ind w:firstLine="442" w:firstLineChars="200"/>
        <w:rPr>
          <w:rFonts w:ascii="Times New Roman" w:hAnsi="Times New Roman" w:eastAsia="黑体" w:cs="Times New Roman"/>
          <w:bCs/>
          <w:sz w:val="22"/>
          <w:szCs w:val="24"/>
        </w:rPr>
      </w:pPr>
      <w:bookmarkStart w:id="125" w:name="_Hlk163835738"/>
      <w:r>
        <w:rPr>
          <w:rFonts w:ascii="Times New Roman" w:hAnsi="Times New Roman" w:eastAsia="黑体" w:cs="Times New Roman"/>
          <w:b/>
          <w:sz w:val="22"/>
          <w:szCs w:val="24"/>
        </w:rPr>
        <w:t>Modern seed</w:t>
      </w:r>
      <w:bookmarkEnd w:id="125"/>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Furong District Modern Agricultural Industrial Park, we aim to attract seed industry enterprises specializing in third-generation hybrid rice, low-cadmium rice, saline-tolerant rice, short-yielding-period early and late season rice, extreme temperature-resistant rice, “Three highs (high yield, high oil content, high protein) and two lows (low erucic acid, low thioglycosides)” new varieties of rapeseed, and core germplasm of fruits, vegetables, and tea.</w:t>
      </w:r>
    </w:p>
    <w:p w14:paraId="65772F04">
      <w:pPr>
        <w:snapToGrid w:val="0"/>
        <w:spacing w:line="36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Livestock and poultry.</w:t>
      </w:r>
      <w:r>
        <w:rPr>
          <w:rFonts w:ascii="Times New Roman" w:hAnsi="Times New Roman" w:eastAsia="黑体" w:cs="Times New Roman"/>
          <w:bCs/>
          <w:sz w:val="22"/>
          <w:szCs w:val="24"/>
        </w:rPr>
        <w:t xml:space="preserve"> Based on the Changsha-Zhuzhou-Xiangtan area, southern Hunan, and Dongting Lake areas, we aim to attract leading enterprises in meat food deep processing, export-oriented high-quality pork supply, sustainable integrated farming and animal husbandry, and modern ecological breeding. Based on Huaihua, Yongzhou, and Shaoyang, we aim to attract enterprises specializing in characteristic poultry such as chickens, ducks, and geese.</w:t>
      </w:r>
    </w:p>
    <w:p w14:paraId="2D802C9E">
      <w:pPr>
        <w:snapToGrid w:val="0"/>
        <w:spacing w:line="36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Vegetables.</w:t>
      </w:r>
      <w:r>
        <w:rPr>
          <w:rFonts w:ascii="Times New Roman" w:hAnsi="Times New Roman" w:eastAsia="黑体" w:cs="Times New Roman"/>
          <w:bCs/>
          <w:sz w:val="22"/>
          <w:szCs w:val="24"/>
        </w:rPr>
        <w:t xml:space="preserve"> Based on regions in southern Hunan such as Yongzhou, Chenzhou, and Hengyang, we aim to attract high-quality </w:t>
      </w:r>
    </w:p>
    <w:p w14:paraId="774BC4C6">
      <w:pPr>
        <w:snapToGrid w:val="0"/>
        <w:spacing w:line="360" w:lineRule="exact"/>
        <w:ind w:firstLine="440" w:firstLineChars="200"/>
        <w:rPr>
          <w:rFonts w:ascii="Times New Roman" w:hAnsi="Times New Roman" w:eastAsia="黑体" w:cs="Times New Roman"/>
          <w:bCs/>
          <w:sz w:val="22"/>
          <w:szCs w:val="24"/>
        </w:rPr>
      </w:pPr>
    </w:p>
    <w:p w14:paraId="13C31327">
      <w:pPr>
        <w:snapToGrid w:val="0"/>
        <w:spacing w:line="360" w:lineRule="exact"/>
        <w:ind w:firstLine="440" w:firstLineChars="200"/>
        <w:rPr>
          <w:rFonts w:ascii="Times New Roman" w:hAnsi="Times New Roman" w:eastAsia="黑体" w:cs="Times New Roman"/>
          <w:bCs/>
          <w:sz w:val="22"/>
          <w:szCs w:val="24"/>
        </w:rPr>
      </w:pPr>
    </w:p>
    <w:p w14:paraId="7960B8E1">
      <w:pPr>
        <w:snapToGrid w:val="0"/>
        <w:spacing w:line="360" w:lineRule="exact"/>
        <w:ind w:firstLine="440" w:firstLineChars="200"/>
        <w:rPr>
          <w:rFonts w:ascii="Times New Roman" w:hAnsi="Times New Roman" w:eastAsia="黑体" w:cs="Times New Roman"/>
          <w:bCs/>
          <w:sz w:val="22"/>
          <w:szCs w:val="24"/>
        </w:rPr>
      </w:pPr>
    </w:p>
    <w:p w14:paraId="6002183C">
      <w:pPr>
        <w:snapToGrid w:val="0"/>
        <w:spacing w:line="360" w:lineRule="exact"/>
        <w:ind w:firstLine="440" w:firstLineChars="200"/>
        <w:rPr>
          <w:rFonts w:ascii="Times New Roman" w:hAnsi="Times New Roman" w:eastAsia="黑体" w:cs="Times New Roman"/>
          <w:bCs/>
          <w:sz w:val="22"/>
          <w:szCs w:val="24"/>
        </w:rPr>
      </w:pPr>
      <w:r>
        <w:rPr>
          <w:rFonts w:hint="eastAsia" w:ascii="Times New Roman" w:hAnsi="Times New Roman" w:eastAsia="黑体" w:cs="Times New Roman"/>
          <w:bCs/>
          <w:sz w:val="22"/>
          <w:szCs w:val="24"/>
        </w:rPr>
        <w:drawing>
          <wp:anchor distT="0" distB="0" distL="114300" distR="114300" simplePos="0" relativeHeight="251701248" behindDoc="0" locked="0" layoutInCell="1" allowOverlap="1">
            <wp:simplePos x="0" y="0"/>
            <wp:positionH relativeFrom="column">
              <wp:posOffset>-781050</wp:posOffset>
            </wp:positionH>
            <wp:positionV relativeFrom="paragraph">
              <wp:posOffset>219075</wp:posOffset>
            </wp:positionV>
            <wp:extent cx="5581650" cy="3800475"/>
            <wp:effectExtent l="0" t="895350" r="0" b="866775"/>
            <wp:wrapNone/>
            <wp:docPr id="11827332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26" name="图片 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rot="16200000">
                      <a:off x="0" y="0"/>
                      <a:ext cx="5581650" cy="3800475"/>
                    </a:xfrm>
                    <a:prstGeom prst="rect">
                      <a:avLst/>
                    </a:prstGeom>
                    <a:noFill/>
                    <a:ln>
                      <a:noFill/>
                    </a:ln>
                  </pic:spPr>
                </pic:pic>
              </a:graphicData>
            </a:graphic>
          </wp:anchor>
        </w:drawing>
      </w:r>
    </w:p>
    <w:p w14:paraId="7AFD2111">
      <w:pPr>
        <w:snapToGrid w:val="0"/>
        <w:spacing w:line="360" w:lineRule="exact"/>
        <w:ind w:firstLine="440" w:firstLineChars="200"/>
        <w:rPr>
          <w:rFonts w:ascii="Times New Roman" w:hAnsi="Times New Roman" w:eastAsia="黑体" w:cs="Times New Roman"/>
          <w:bCs/>
          <w:sz w:val="22"/>
          <w:szCs w:val="24"/>
        </w:rPr>
      </w:pPr>
    </w:p>
    <w:p w14:paraId="7D0887CA">
      <w:pPr>
        <w:snapToGrid w:val="0"/>
        <w:spacing w:line="360" w:lineRule="exact"/>
        <w:ind w:firstLine="440" w:firstLineChars="200"/>
        <w:rPr>
          <w:rFonts w:ascii="Times New Roman" w:hAnsi="Times New Roman" w:eastAsia="黑体" w:cs="Times New Roman"/>
          <w:bCs/>
          <w:sz w:val="22"/>
          <w:szCs w:val="24"/>
        </w:rPr>
      </w:pPr>
    </w:p>
    <w:p w14:paraId="3DEF5F29">
      <w:pPr>
        <w:snapToGrid w:val="0"/>
        <w:spacing w:line="360" w:lineRule="exact"/>
        <w:ind w:firstLine="440" w:firstLineChars="200"/>
        <w:rPr>
          <w:rFonts w:ascii="Times New Roman" w:hAnsi="Times New Roman" w:eastAsia="黑体" w:cs="Times New Roman"/>
          <w:bCs/>
          <w:sz w:val="22"/>
          <w:szCs w:val="24"/>
        </w:rPr>
      </w:pPr>
    </w:p>
    <w:p w14:paraId="21AE176A">
      <w:pPr>
        <w:snapToGrid w:val="0"/>
        <w:spacing w:line="360" w:lineRule="exact"/>
        <w:ind w:firstLine="440" w:firstLineChars="200"/>
        <w:rPr>
          <w:rFonts w:ascii="Times New Roman" w:hAnsi="Times New Roman" w:eastAsia="黑体" w:cs="Times New Roman"/>
          <w:bCs/>
          <w:sz w:val="22"/>
          <w:szCs w:val="24"/>
        </w:rPr>
      </w:pPr>
    </w:p>
    <w:p w14:paraId="075497B8">
      <w:pPr>
        <w:snapToGrid w:val="0"/>
        <w:spacing w:line="360" w:lineRule="exact"/>
        <w:ind w:firstLine="440" w:firstLineChars="200"/>
        <w:rPr>
          <w:rFonts w:ascii="Times New Roman" w:hAnsi="Times New Roman" w:eastAsia="黑体" w:cs="Times New Roman"/>
          <w:bCs/>
          <w:sz w:val="22"/>
          <w:szCs w:val="24"/>
        </w:rPr>
      </w:pPr>
    </w:p>
    <w:p w14:paraId="4416AD73">
      <w:pPr>
        <w:snapToGrid w:val="0"/>
        <w:spacing w:line="360" w:lineRule="exact"/>
        <w:ind w:firstLine="440" w:firstLineChars="200"/>
        <w:rPr>
          <w:rFonts w:ascii="Times New Roman" w:hAnsi="Times New Roman" w:eastAsia="黑体" w:cs="Times New Roman"/>
          <w:bCs/>
          <w:sz w:val="22"/>
          <w:szCs w:val="24"/>
        </w:rPr>
      </w:pPr>
    </w:p>
    <w:p w14:paraId="0B88F4FE">
      <w:pPr>
        <w:snapToGrid w:val="0"/>
        <w:spacing w:line="360" w:lineRule="exact"/>
        <w:ind w:firstLine="440" w:firstLineChars="200"/>
        <w:rPr>
          <w:rFonts w:ascii="Times New Roman" w:hAnsi="Times New Roman" w:eastAsia="黑体" w:cs="Times New Roman"/>
          <w:bCs/>
          <w:sz w:val="22"/>
          <w:szCs w:val="24"/>
        </w:rPr>
      </w:pPr>
    </w:p>
    <w:p w14:paraId="1C72C3F1">
      <w:pPr>
        <w:snapToGrid w:val="0"/>
        <w:spacing w:line="360" w:lineRule="exact"/>
        <w:ind w:firstLine="440" w:firstLineChars="200"/>
        <w:rPr>
          <w:rFonts w:ascii="Times New Roman" w:hAnsi="Times New Roman" w:eastAsia="黑体" w:cs="Times New Roman"/>
          <w:bCs/>
          <w:sz w:val="22"/>
          <w:szCs w:val="24"/>
        </w:rPr>
      </w:pPr>
    </w:p>
    <w:p w14:paraId="22FA52D1">
      <w:pPr>
        <w:snapToGrid w:val="0"/>
        <w:spacing w:line="360" w:lineRule="exact"/>
        <w:ind w:firstLine="440" w:firstLineChars="200"/>
        <w:rPr>
          <w:rFonts w:ascii="Times New Roman" w:hAnsi="Times New Roman" w:eastAsia="黑体" w:cs="Times New Roman"/>
          <w:bCs/>
          <w:sz w:val="22"/>
          <w:szCs w:val="24"/>
        </w:rPr>
      </w:pPr>
    </w:p>
    <w:p w14:paraId="17426EBB">
      <w:pPr>
        <w:snapToGrid w:val="0"/>
        <w:spacing w:line="360" w:lineRule="exact"/>
        <w:ind w:firstLine="440" w:firstLineChars="200"/>
        <w:rPr>
          <w:rFonts w:ascii="Times New Roman" w:hAnsi="Times New Roman" w:eastAsia="黑体" w:cs="Times New Roman"/>
          <w:bCs/>
          <w:sz w:val="22"/>
          <w:szCs w:val="24"/>
        </w:rPr>
      </w:pPr>
    </w:p>
    <w:p w14:paraId="7D9A068A">
      <w:pPr>
        <w:snapToGrid w:val="0"/>
        <w:spacing w:line="360" w:lineRule="exact"/>
        <w:ind w:firstLine="440" w:firstLineChars="200"/>
        <w:rPr>
          <w:rFonts w:ascii="Times New Roman" w:hAnsi="Times New Roman" w:eastAsia="黑体" w:cs="Times New Roman"/>
          <w:bCs/>
          <w:sz w:val="22"/>
          <w:szCs w:val="24"/>
        </w:rPr>
      </w:pPr>
    </w:p>
    <w:p w14:paraId="3EAA9758">
      <w:pPr>
        <w:snapToGrid w:val="0"/>
        <w:spacing w:line="360" w:lineRule="exact"/>
        <w:ind w:firstLine="440" w:firstLineChars="200"/>
        <w:rPr>
          <w:rFonts w:ascii="Times New Roman" w:hAnsi="Times New Roman" w:eastAsia="黑体" w:cs="Times New Roman"/>
          <w:bCs/>
          <w:sz w:val="22"/>
          <w:szCs w:val="24"/>
        </w:rPr>
      </w:pPr>
    </w:p>
    <w:p w14:paraId="69A51030">
      <w:pPr>
        <w:snapToGrid w:val="0"/>
        <w:spacing w:line="360" w:lineRule="exact"/>
        <w:ind w:firstLine="440" w:firstLineChars="200"/>
        <w:rPr>
          <w:rFonts w:ascii="Times New Roman" w:hAnsi="Times New Roman" w:eastAsia="黑体" w:cs="Times New Roman"/>
          <w:bCs/>
          <w:sz w:val="22"/>
          <w:szCs w:val="24"/>
        </w:rPr>
      </w:pPr>
    </w:p>
    <w:p w14:paraId="6C4F2FC8">
      <w:pPr>
        <w:snapToGrid w:val="0"/>
        <w:spacing w:line="360" w:lineRule="exact"/>
        <w:ind w:firstLine="440" w:firstLineChars="200"/>
        <w:rPr>
          <w:rFonts w:ascii="Times New Roman" w:hAnsi="Times New Roman" w:eastAsia="黑体" w:cs="Times New Roman"/>
          <w:bCs/>
          <w:sz w:val="22"/>
          <w:szCs w:val="24"/>
        </w:rPr>
      </w:pPr>
    </w:p>
    <w:p w14:paraId="649B5126">
      <w:pPr>
        <w:snapToGrid w:val="0"/>
        <w:spacing w:line="360" w:lineRule="exact"/>
        <w:ind w:firstLine="440" w:firstLineChars="200"/>
        <w:rPr>
          <w:rFonts w:ascii="Times New Roman" w:hAnsi="Times New Roman" w:eastAsia="黑体" w:cs="Times New Roman"/>
          <w:bCs/>
          <w:sz w:val="22"/>
          <w:szCs w:val="24"/>
        </w:rPr>
      </w:pPr>
    </w:p>
    <w:p w14:paraId="75E737F7">
      <w:pPr>
        <w:snapToGrid w:val="0"/>
        <w:spacing w:line="360" w:lineRule="exact"/>
        <w:ind w:firstLine="440" w:firstLineChars="200"/>
        <w:rPr>
          <w:rFonts w:ascii="Times New Roman" w:hAnsi="Times New Roman" w:eastAsia="黑体" w:cs="Times New Roman"/>
          <w:bCs/>
          <w:sz w:val="22"/>
          <w:szCs w:val="24"/>
        </w:rPr>
      </w:pPr>
    </w:p>
    <w:p w14:paraId="678676B2">
      <w:pPr>
        <w:snapToGrid w:val="0"/>
        <w:spacing w:line="360" w:lineRule="exact"/>
        <w:ind w:firstLine="440" w:firstLineChars="200"/>
        <w:rPr>
          <w:rFonts w:ascii="Times New Roman" w:hAnsi="Times New Roman" w:eastAsia="黑体" w:cs="Times New Roman"/>
          <w:bCs/>
          <w:sz w:val="22"/>
          <w:szCs w:val="24"/>
        </w:rPr>
      </w:pPr>
    </w:p>
    <w:p w14:paraId="6B616F4A">
      <w:pPr>
        <w:snapToGrid w:val="0"/>
        <w:spacing w:line="360" w:lineRule="exact"/>
        <w:ind w:firstLine="440" w:firstLineChars="200"/>
        <w:rPr>
          <w:rFonts w:ascii="Times New Roman" w:hAnsi="Times New Roman" w:eastAsia="黑体" w:cs="Times New Roman"/>
          <w:bCs/>
          <w:sz w:val="22"/>
          <w:szCs w:val="24"/>
        </w:rPr>
      </w:pPr>
    </w:p>
    <w:p w14:paraId="43D30D5A">
      <w:pPr>
        <w:snapToGrid w:val="0"/>
        <w:spacing w:line="360" w:lineRule="exact"/>
        <w:ind w:firstLine="440" w:firstLineChars="200"/>
        <w:rPr>
          <w:rFonts w:ascii="Times New Roman" w:hAnsi="Times New Roman" w:eastAsia="黑体" w:cs="Times New Roman"/>
          <w:bCs/>
          <w:sz w:val="22"/>
          <w:szCs w:val="24"/>
        </w:rPr>
      </w:pPr>
    </w:p>
    <w:p w14:paraId="6531BFB5">
      <w:pPr>
        <w:snapToGrid w:val="0"/>
        <w:spacing w:line="360" w:lineRule="exact"/>
        <w:ind w:firstLine="440" w:firstLineChars="200"/>
        <w:rPr>
          <w:rFonts w:ascii="Times New Roman" w:hAnsi="Times New Roman" w:eastAsia="黑体" w:cs="Times New Roman"/>
          <w:bCs/>
          <w:sz w:val="22"/>
          <w:szCs w:val="24"/>
        </w:rPr>
      </w:pPr>
    </w:p>
    <w:p w14:paraId="18C66273">
      <w:pPr>
        <w:snapToGrid w:val="0"/>
        <w:spacing w:line="350" w:lineRule="exact"/>
        <w:rPr>
          <w:rFonts w:ascii="Times New Roman" w:hAnsi="Times New Roman" w:eastAsia="黑体" w:cs="Times New Roman"/>
          <w:bCs/>
          <w:sz w:val="22"/>
          <w:szCs w:val="24"/>
        </w:rPr>
      </w:pPr>
      <w:r>
        <w:rPr>
          <w:rFonts w:ascii="Times New Roman" w:hAnsi="Times New Roman" w:eastAsia="黑体" w:cs="Times New Roman"/>
          <w:bCs/>
          <w:sz w:val="22"/>
          <w:szCs w:val="24"/>
        </w:rPr>
        <w:t>“Xiang River Source” vegetable producers. Based on areas like Wuling Mountains, Luoxiao Mountains, and Xuefeng Mountains, we aim to attract enterprises specializing in high-altitude vegetables urgently needed in summer. Based on lake-bordering districts and counties in Yueyang, Changde, and Yiyang, we aim to attract enterprises engaged in the production of aquatic vegetables such as lotus root, lotus root tips, common mugwort, Manchurian wild rice, water chestnut, and asparagus.</w:t>
      </w:r>
    </w:p>
    <w:p w14:paraId="372CE11E">
      <w:pPr>
        <w:snapToGrid w:val="0"/>
        <w:spacing w:line="35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Oil crops (rapeseed, oil tea).</w:t>
      </w:r>
      <w:r>
        <w:rPr>
          <w:rFonts w:ascii="Times New Roman" w:hAnsi="Times New Roman" w:eastAsia="黑体" w:cs="Times New Roman"/>
          <w:bCs/>
          <w:sz w:val="22"/>
          <w:szCs w:val="24"/>
        </w:rPr>
        <w:t xml:space="preserve"> Based on Changde, Hengyang, and Yongzhou, we aim to attract enterprises engaged in standardized rapeseed production, breeding of new rapeseed varieties, cultivation of quality oil tea, construction of high-yield oil tea forests, and transformation of low-yield oil tea forests.</w:t>
      </w:r>
    </w:p>
    <w:p w14:paraId="522759EF">
      <w:pPr>
        <w:snapToGrid w:val="0"/>
        <w:spacing w:line="35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Tea.</w:t>
      </w:r>
      <w:r>
        <w:rPr>
          <w:rFonts w:ascii="Times New Roman" w:hAnsi="Times New Roman" w:eastAsia="黑体" w:cs="Times New Roman"/>
          <w:bCs/>
          <w:sz w:val="22"/>
          <w:szCs w:val="24"/>
        </w:rPr>
        <w:t xml:space="preserve"> Based on Changde, Zhangjiajie, and Yueyang, we aim to attract enterprises engaged in the breeding of new varieties of tea trees with Hunan characteristics, the construction of breeding bases for quality tea trees, and renovation of deteriorating tea gardens.</w:t>
      </w:r>
    </w:p>
    <w:p w14:paraId="4CBB2A32">
      <w:pPr>
        <w:snapToGrid w:val="0"/>
        <w:spacing w:line="35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Fruits.</w:t>
      </w:r>
      <w:r>
        <w:rPr>
          <w:rFonts w:ascii="Times New Roman" w:hAnsi="Times New Roman" w:eastAsia="黑体" w:cs="Times New Roman"/>
          <w:bCs/>
          <w:sz w:val="22"/>
          <w:szCs w:val="24"/>
        </w:rPr>
        <w:t xml:space="preserve"> Based on Xiangxi, Yongzhou, and Yueyang, we aim to attract enterprises engaged in the planting, processing, and sales of characteristic fruits such as citrus fruits, kiwifruits, Cuiguan pears, round yellow (Wonhwang) pears, golden pears, Qianyang golden autumn pears, crystal pears, and Miaoxiang pears.</w:t>
      </w:r>
    </w:p>
    <w:p w14:paraId="6239EA48">
      <w:pPr>
        <w:snapToGrid w:val="0"/>
        <w:spacing w:line="35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Aquaculture.</w:t>
      </w:r>
      <w:r>
        <w:rPr>
          <w:rFonts w:ascii="Times New Roman" w:hAnsi="Times New Roman" w:eastAsia="黑体" w:cs="Times New Roman"/>
          <w:bCs/>
          <w:sz w:val="22"/>
          <w:szCs w:val="24"/>
        </w:rPr>
        <w:t xml:space="preserve"> Based on Yiyang, Changde, and Yueyang, we aim to attract enterprises engaged in the cultivation, processing, and sales of rice-field shrimp, crayfish, Chinese softshell turtles, and other aquaculture products. Based on Chenzhou, Yongzhou, and Yueyang, we aim to attract enterprises engaged in spring (cold) water fish specialty aquaculture, ecological aquaculture around big waters, and recreational fisheries.</w:t>
      </w:r>
    </w:p>
    <w:p w14:paraId="00EC6615">
      <w:pPr>
        <w:snapToGrid w:val="0"/>
        <w:spacing w:line="35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TCM medicinal materials.</w:t>
      </w:r>
      <w:r>
        <w:rPr>
          <w:rFonts w:ascii="Times New Roman" w:hAnsi="Times New Roman" w:eastAsia="黑体" w:cs="Times New Roman"/>
          <w:bCs/>
          <w:sz w:val="22"/>
          <w:szCs w:val="24"/>
        </w:rPr>
        <w:t xml:space="preserve"> Based on model counties of 20 Chinese medicinal material planting bases in Hunan Province, we aim to attract enterprises engaged in the selection and breeding of excellent varieties of authentic and characteristic Hunan medicinal materials, domestication and artificial breeding of wild medicinal materials, establishment of breeding bases for quality medicinal materials, and cultivation of county-level Chinese medicinal material brands.</w:t>
      </w:r>
    </w:p>
    <w:p w14:paraId="71A34BFF">
      <w:pPr>
        <w:snapToGrid w:val="0"/>
        <w:spacing w:line="35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Bamboo.</w:t>
      </w:r>
      <w:r>
        <w:rPr>
          <w:rFonts w:ascii="Times New Roman" w:hAnsi="Times New Roman" w:eastAsia="黑体" w:cs="Times New Roman"/>
          <w:bCs/>
          <w:sz w:val="22"/>
          <w:szCs w:val="24"/>
        </w:rPr>
        <w:t xml:space="preserve"> Based on counties, county-level cities, and districts such as Taojiang, Linxiang, and Suining, we aim to attract enterprises engaged in the “Xiaoxiang Bamboo” wood industrial chain, including bamboo shoots, timber, dual-use bamboo (shoot and timber), pulp-use bamboo, landscape bamboo, and others.</w:t>
      </w:r>
    </w:p>
    <w:p w14:paraId="52E327A8">
      <w:pPr>
        <w:snapToGrid w:val="0"/>
        <w:spacing w:line="350" w:lineRule="exact"/>
        <w:ind w:firstLine="442" w:firstLineChars="200"/>
        <w:rPr>
          <w:rFonts w:ascii="Times New Roman" w:hAnsi="Times New Roman" w:eastAsia="黑体" w:cs="Times New Roman"/>
          <w:bCs/>
          <w:sz w:val="22"/>
          <w:szCs w:val="24"/>
        </w:rPr>
      </w:pPr>
      <w:r>
        <w:rPr>
          <w:rFonts w:ascii="Times New Roman" w:hAnsi="Times New Roman" w:eastAsia="黑体" w:cs="Times New Roman"/>
          <w:b/>
          <w:sz w:val="22"/>
          <w:szCs w:val="24"/>
        </w:rPr>
        <w:t>Understory economy.</w:t>
      </w:r>
      <w:r>
        <w:rPr>
          <w:rFonts w:ascii="Times New Roman" w:hAnsi="Times New Roman" w:eastAsia="黑体" w:cs="Times New Roman"/>
          <w:bCs/>
          <w:sz w:val="22"/>
          <w:szCs w:val="24"/>
        </w:rPr>
        <w:t xml:space="preserve"> Based on national and provincial model bases of understory economy in Suining, Sangzhi, and Li County, we aim to attract enterprises engaged in understory planting such as forest mushrooms, medicinal herbs, and economic crops, understory breeding such as forest poultry and livestock and resource insects, and understory product collection and processing such as pine resin, bamboo shoots, and forest fruits.</w:t>
      </w:r>
    </w:p>
    <w:p w14:paraId="4137BD5F">
      <w:pPr>
        <w:snapToGrid w:val="0"/>
        <w:spacing w:line="360" w:lineRule="exact"/>
        <w:ind w:firstLine="400" w:firstLineChars="200"/>
        <w:rPr>
          <w:rFonts w:ascii="Times New Roman" w:hAnsi="Times New Roman" w:eastAsia="仿宋" w:cs="Times New Roman"/>
          <w:sz w:val="20"/>
          <w:szCs w:val="21"/>
        </w:rPr>
        <w:sectPr>
          <w:pgSz w:w="8391" w:h="11907"/>
          <w:pgMar w:top="1440" w:right="1080" w:bottom="1440" w:left="1080" w:header="680" w:footer="992" w:gutter="0"/>
          <w:cols w:space="720" w:num="1"/>
          <w:docGrid w:type="lines" w:linePitch="381" w:charSpace="0"/>
        </w:sectPr>
      </w:pPr>
    </w:p>
    <w:p w14:paraId="05AFE41D">
      <w:pPr>
        <w:keepNext/>
        <w:snapToGrid w:val="0"/>
        <w:spacing w:afterLines="50" w:line="360" w:lineRule="exact"/>
        <w:jc w:val="center"/>
        <w:outlineLvl w:val="1"/>
        <w:rPr>
          <w:rFonts w:ascii="Times New Roman" w:hAnsi="Times New Roman" w:eastAsia="仿宋" w:cs="Times New Roman"/>
          <w:b/>
          <w:bCs/>
          <w:sz w:val="22"/>
          <w:szCs w:val="24"/>
        </w:rPr>
      </w:pPr>
      <w:bookmarkStart w:id="126" w:name="_Toc163910333"/>
      <w:r>
        <w:rPr>
          <w:rFonts w:ascii="Times New Roman" w:hAnsi="Times New Roman" w:eastAsia="仿宋" w:cs="Times New Roman"/>
          <w:b/>
          <w:bCs/>
          <w:sz w:val="22"/>
          <w:szCs w:val="24"/>
        </w:rPr>
        <w:t>8. Culture and Tourism</w:t>
      </w:r>
      <w:bookmarkEnd w:id="126"/>
    </w:p>
    <w:p w14:paraId="4B09891A">
      <w:pPr>
        <w:keepNext/>
        <w:snapToGrid w:val="0"/>
        <w:spacing w:line="360" w:lineRule="exact"/>
        <w:ind w:firstLine="442" w:firstLineChars="200"/>
        <w:outlineLvl w:val="2"/>
        <w:rPr>
          <w:rFonts w:ascii="Times New Roman" w:hAnsi="Times New Roman" w:eastAsia="黑体" w:cs="Times New Roman"/>
          <w:b/>
          <w:sz w:val="22"/>
          <w:szCs w:val="24"/>
        </w:rPr>
      </w:pPr>
      <w:bookmarkStart w:id="127" w:name="_Toc163910334"/>
      <w:r>
        <w:rPr>
          <w:rFonts w:ascii="Times New Roman" w:hAnsi="Times New Roman" w:eastAsia="黑体" w:cs="Times New Roman"/>
          <w:b/>
          <w:sz w:val="22"/>
          <w:szCs w:val="24"/>
        </w:rPr>
        <w:t>(1) Development Status</w:t>
      </w:r>
      <w:bookmarkEnd w:id="127"/>
    </w:p>
    <w:p w14:paraId="6AF85234">
      <w:pPr>
        <w:snapToGrid w:val="0"/>
        <w:spacing w:line="360" w:lineRule="exact"/>
        <w:ind w:firstLine="440" w:firstLineChars="200"/>
        <w:rPr>
          <w:rFonts w:ascii="Times New Roman" w:hAnsi="Times New Roman" w:eastAsia="仿宋" w:cs="Times New Roman"/>
          <w:sz w:val="22"/>
          <w:szCs w:val="24"/>
        </w:rPr>
      </w:pPr>
      <w:r>
        <w:rPr>
          <w:rFonts w:hint="eastAsia" w:ascii="Times New Roman" w:hAnsi="Times New Roman" w:eastAsia="仿宋" w:cs="Times New Roman"/>
          <w:sz w:val="22"/>
          <w:szCs w:val="24"/>
        </w:rPr>
        <w:t>The province received over 700 million tourist visits in 2024, with total tourism revenue exceeding 1 trillion yuan. Hunan's cultural and tourism industry enjoys national renown, boasting 2 World Natural Heritage sites, 22 national-level scenic areas, and 7 5A-level scenic spots. Zhangjiajie, Fenghuang Ancient Town, and Mount Hengshan enjoy global fame. In 2024, two of its 5A-level scenic spots were listed on the "2024 Top 100 5A-Level Scenic Spots Brand Influence Ranking," securing the second position nationally.</w:t>
      </w:r>
    </w:p>
    <w:p w14:paraId="05359F6A">
      <w:pPr>
        <w:snapToGrid w:val="0"/>
        <w:rPr>
          <w:rFonts w:ascii="Times New Roman" w:hAnsi="Times New Roman" w:eastAsia="仿宋" w:cs="Times New Roman"/>
          <w:sz w:val="20"/>
          <w:szCs w:val="21"/>
        </w:rPr>
      </w:pPr>
      <w:r>
        <w:drawing>
          <wp:inline distT="0" distB="0" distL="0" distR="0">
            <wp:extent cx="4043680" cy="2183130"/>
            <wp:effectExtent l="0" t="0" r="0" b="762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4047414" cy="2185369"/>
                    </a:xfrm>
                    <a:prstGeom prst="rect">
                      <a:avLst/>
                    </a:prstGeom>
                    <a:noFill/>
                    <a:ln>
                      <a:noFill/>
                    </a:ln>
                  </pic:spPr>
                </pic:pic>
              </a:graphicData>
            </a:graphic>
          </wp:inline>
        </w:drawing>
      </w:r>
    </w:p>
    <w:p w14:paraId="5A6B1BDB">
      <w:pPr>
        <w:keepNext/>
        <w:adjustRightInd w:val="0"/>
        <w:snapToGrid w:val="0"/>
        <w:spacing w:beforeLines="20" w:afterLines="20"/>
        <w:jc w:val="center"/>
        <w:rPr>
          <w:rFonts w:ascii="Times New Roman" w:hAnsi="Times New Roman" w:eastAsia="黑体" w:cs="Times New Roman"/>
          <w:sz w:val="18"/>
          <w:szCs w:val="24"/>
        </w:rPr>
      </w:pPr>
      <w:r>
        <w:rPr>
          <w:rFonts w:ascii="Times New Roman" w:hAnsi="Times New Roman" w:eastAsia="黑体" w:cs="Times New Roman"/>
          <w:sz w:val="18"/>
          <w:szCs w:val="24"/>
        </w:rPr>
        <w:t>Leading companies in cultural tourism</w:t>
      </w:r>
    </w:p>
    <w:p w14:paraId="56554CFF">
      <w:pPr>
        <w:snapToGrid w:val="0"/>
        <w:spacing w:line="360" w:lineRule="exact"/>
        <w:ind w:firstLine="440" w:firstLineChars="200"/>
        <w:rPr>
          <w:rFonts w:ascii="Times New Roman" w:hAnsi="Times New Roman" w:eastAsia="仿宋" w:cs="Times New Roman"/>
          <w:sz w:val="22"/>
          <w:szCs w:val="24"/>
        </w:rPr>
      </w:pPr>
      <w:r>
        <w:rPr>
          <w:rFonts w:hint="eastAsia" w:ascii="Times New Roman" w:hAnsi="Times New Roman" w:eastAsia="仿宋" w:cs="Times New Roman"/>
          <w:sz w:val="22"/>
          <w:szCs w:val="24"/>
        </w:rPr>
        <w:t>The cultural industry is developing rapidly, with its scale growing at an annual rate of 10% to 15%. It has become the province's sixth trillion-yuan industry. Hunan Broadcasting System and Mango TV maintain their leading positions in both output and influence of film and television programs nationally. Malanshan Video and Cultural Creative Industrial Park has become the country's largest 5G + ultra-high-definition video production base. In the 16th "National Top 30 Cultural Enterprises" ranking, Hunan Publishing Investment Holding Group Co., Ltd. and Mango Excellent Media Co., Ltd. were successfully selected.</w:t>
      </w:r>
    </w:p>
    <w:p w14:paraId="66CCE3A1">
      <w:pPr>
        <w:keepNext/>
        <w:numPr>
          <w:ilvl w:val="0"/>
          <w:numId w:val="4"/>
        </w:numPr>
        <w:snapToGrid w:val="0"/>
        <w:spacing w:line="360" w:lineRule="exact"/>
        <w:ind w:firstLine="442" w:firstLineChars="200"/>
        <w:outlineLvl w:val="2"/>
        <w:rPr>
          <w:rFonts w:ascii="Times New Roman" w:hAnsi="Times New Roman" w:eastAsia="黑体" w:cs="Times New Roman"/>
          <w:b/>
          <w:sz w:val="22"/>
          <w:szCs w:val="24"/>
        </w:rPr>
      </w:pPr>
      <w:bookmarkStart w:id="128" w:name="_Toc163910335"/>
      <w:r>
        <w:rPr>
          <w:rFonts w:ascii="Times New Roman" w:hAnsi="Times New Roman" w:eastAsia="黑体" w:cs="Times New Roman"/>
          <w:b/>
          <w:sz w:val="22"/>
          <w:szCs w:val="24"/>
        </w:rPr>
        <w:t>Development Target</w:t>
      </w:r>
      <w:bookmarkEnd w:id="128"/>
    </w:p>
    <w:p w14:paraId="0EC95D46">
      <w:pPr>
        <w:snapToGrid w:val="0"/>
        <w:spacing w:line="360" w:lineRule="exact"/>
        <w:ind w:firstLine="440" w:firstLineChars="200"/>
        <w:rPr>
          <w:rFonts w:ascii="Times New Roman" w:hAnsi="Times New Roman" w:eastAsia="仿宋" w:cs="Times New Roman"/>
          <w:sz w:val="22"/>
          <w:szCs w:val="24"/>
        </w:rPr>
      </w:pPr>
      <w:r>
        <w:rPr>
          <w:rFonts w:ascii="Times New Roman" w:hAnsi="Times New Roman" w:eastAsia="仿宋" w:cs="Times New Roman"/>
          <w:sz w:val="22"/>
          <w:szCs w:val="24"/>
        </w:rPr>
        <w:t>By 2027, the province will receive more than one billion tourists, with the operating revenue of above-scale cultural industries exceeding 470 billion yuan, the total tourism revenue reaching 1.4 trillion yuan, and the added value of tourism and related industries accounting for 6.5% of the province’s GDP. This will establish Hunan as a world-leading, top-notch landmark in the audio and video industry, a model in “Artificial Intelligence + Culture”, and a world-renowned tourism destination.</w:t>
      </w:r>
    </w:p>
    <w:p w14:paraId="21F4B699">
      <w:pPr>
        <w:keepNext/>
        <w:snapToGrid w:val="0"/>
        <w:spacing w:line="360" w:lineRule="exact"/>
        <w:ind w:firstLine="442" w:firstLineChars="200"/>
        <w:outlineLvl w:val="2"/>
        <w:rPr>
          <w:rFonts w:ascii="Times New Roman" w:hAnsi="Times New Roman" w:eastAsia="黑体" w:cs="Times New Roman"/>
          <w:b/>
          <w:sz w:val="22"/>
          <w:szCs w:val="24"/>
        </w:rPr>
      </w:pPr>
      <w:bookmarkStart w:id="129" w:name="_Toc163910336"/>
      <w:r>
        <w:rPr>
          <w:rFonts w:ascii="Times New Roman" w:hAnsi="Times New Roman" w:eastAsia="黑体" w:cs="Times New Roman"/>
          <w:b/>
          <w:sz w:val="22"/>
          <w:szCs w:val="24"/>
        </w:rPr>
        <w:t>(3) Policy Support</w:t>
      </w:r>
      <w:bookmarkEnd w:id="129"/>
    </w:p>
    <w:p w14:paraId="07194E68">
      <w:pPr>
        <w:pStyle w:val="85"/>
        <w:numPr>
          <w:ilvl w:val="0"/>
          <w:numId w:val="3"/>
        </w:numPr>
        <w:ind w:left="426" w:hanging="142" w:firstLineChars="0"/>
        <w:rPr>
          <w:i/>
          <w:iCs/>
        </w:rPr>
      </w:pPr>
      <w:r>
        <w:rPr>
          <w:i/>
          <w:iCs/>
        </w:rPr>
        <w:t>Notice of the General Office of People’s Government of Hunan Province on the Issuance of Measures to Further Stimulate the Consumption Potential in Culture and Tourism Industries</w:t>
      </w:r>
    </w:p>
    <w:p w14:paraId="2AC664C5">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85888" behindDoc="0" locked="0" layoutInCell="1" allowOverlap="1">
                <wp:simplePos x="0" y="0"/>
                <wp:positionH relativeFrom="margin">
                  <wp:posOffset>3047365</wp:posOffset>
                </wp:positionH>
                <wp:positionV relativeFrom="margin">
                  <wp:posOffset>4721225</wp:posOffset>
                </wp:positionV>
                <wp:extent cx="914400" cy="962025"/>
                <wp:effectExtent l="6350" t="6350" r="8890" b="6985"/>
                <wp:wrapSquare wrapText="bothSides"/>
                <wp:docPr id="47" name="文本框 19"/>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21171F6A">
                            <w:pPr>
                              <w:pStyle w:val="92"/>
                              <w:adjustRightInd w:val="0"/>
                            </w:pPr>
                            <w:r>
                              <w:drawing>
                                <wp:inline distT="0" distB="0" distL="0" distR="0">
                                  <wp:extent cx="722630" cy="722630"/>
                                  <wp:effectExtent l="0" t="0" r="1270" b="127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63">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7527A69D">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6290ABD4">
                            <w:pPr>
                              <w:pStyle w:val="92"/>
                              <w:adjustRightInd w:val="0"/>
                            </w:pPr>
                          </w:p>
                        </w:txbxContent>
                      </wps:txbx>
                      <wps:bodyPr upright="1"/>
                    </wps:wsp>
                  </a:graphicData>
                </a:graphic>
              </wp:anchor>
            </w:drawing>
          </mc:Choice>
          <mc:Fallback>
            <w:pict>
              <v:shape id="文本框 19" o:spid="_x0000_s1026" o:spt="202" type="#_x0000_t202" style="position:absolute;left:0pt;margin-left:239.95pt;margin-top:371.75pt;height:75.75pt;width:72pt;mso-position-horizontal-relative:margin;mso-position-vertical-relative:margin;mso-wrap-distance-bottom:0pt;mso-wrap-distance-left:9pt;mso-wrap-distance-right:9pt;mso-wrap-distance-top:0pt;z-index:251685888;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">
                <v:fill on="f" focussize="0,0"/>
                <v:stroke weight="1pt" color="#A8D08D" joinstyle="miter"/>
                <v:imagedata o:title=""/>
                <o:lock v:ext="edit" aspectratio="f"/>
                <v:textbox>
                  <w:txbxContent>
                    <w:p w14:paraId="21171F6A">
                      <w:pPr>
                        <w:pStyle w:val="92"/>
                        <w:adjustRightInd w:val="0"/>
                      </w:pPr>
                      <w:r>
                        <w:drawing>
                          <wp:inline distT="0" distB="0" distL="0" distR="0">
                            <wp:extent cx="722630" cy="722630"/>
                            <wp:effectExtent l="0" t="0" r="1270" b="127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63">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7527A69D">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6290ABD4">
                      <w:pPr>
                        <w:pStyle w:val="92"/>
                        <w:adjustRightInd w:val="0"/>
                      </w:pPr>
                    </w:p>
                  </w:txbxContent>
                </v:textbox>
                <w10:wrap type="square"/>
              </v:shape>
            </w:pict>
          </mc:Fallback>
        </mc:AlternateContent>
      </w:r>
      <w:r>
        <w:rPr>
          <w:i/>
          <w:iCs/>
        </w:rPr>
        <w:t>Measures of Department of Culture and Tourism of Hunan Province and other 18 Departments to Further Promote Culture and Tourism to Enable Rural Revitalization</w:t>
      </w:r>
    </w:p>
    <w:p w14:paraId="232B7A24">
      <w:pPr>
        <w:pStyle w:val="85"/>
        <w:numPr>
          <w:ilvl w:val="0"/>
          <w:numId w:val="3"/>
        </w:numPr>
        <w:ind w:left="426" w:hanging="142" w:firstLineChars="0"/>
        <w:rPr>
          <w:i/>
          <w:iCs/>
        </w:rPr>
      </w:pPr>
      <w:r>
        <w:rPr>
          <w:i/>
          <w:iCs/>
        </w:rPr>
        <w:t>14th Five-Year Plan for the Development of Tourism Industry in Hunan Province</w:t>
      </w:r>
    </w:p>
    <w:p w14:paraId="4E2B47E1">
      <w:pPr>
        <w:pStyle w:val="85"/>
        <w:numPr>
          <w:ilvl w:val="0"/>
          <w:numId w:val="3"/>
        </w:numPr>
        <w:ind w:left="426" w:hanging="142" w:firstLineChars="0"/>
        <w:rPr>
          <w:i/>
          <w:iCs/>
        </w:rPr>
      </w:pPr>
      <w:r>
        <w:rPr>
          <w:i/>
          <w:iCs/>
        </w:rPr>
        <w:t>14th Five-Year Plan for the Development of Culture and Tourism in Hunan Province</w:t>
      </w:r>
    </w:p>
    <w:p w14:paraId="62E39D66">
      <w:pPr>
        <w:pStyle w:val="85"/>
        <w:numPr>
          <w:ilvl w:val="0"/>
          <w:numId w:val="3"/>
        </w:numPr>
        <w:ind w:left="426" w:hanging="142" w:firstLineChars="0"/>
        <w:rPr>
          <w:i/>
          <w:iCs/>
        </w:rPr>
      </w:pPr>
      <w:r>
        <w:rPr>
          <w:i/>
          <w:iCs/>
        </w:rPr>
        <w:t>14th Five-Year Action Plan for Promoting High-Quality Development of Tourism in Hunan Province</w:t>
      </w:r>
    </w:p>
    <w:p w14:paraId="52FEAB6B">
      <w:pPr>
        <w:pStyle w:val="85"/>
        <w:numPr>
          <w:ilvl w:val="0"/>
          <w:numId w:val="3"/>
        </w:numPr>
        <w:ind w:left="426" w:hanging="142" w:firstLineChars="0"/>
        <w:rPr>
          <w:i/>
          <w:iCs/>
        </w:rPr>
      </w:pPr>
      <w:r>
        <w:rPr>
          <w:i/>
          <w:iCs/>
        </w:rPr>
        <w:t>Development Plan for Audio and Video Industry in Hunan Province</w:t>
      </w:r>
    </w:p>
    <w:p w14:paraId="6DCB68CD">
      <w:pPr>
        <w:pStyle w:val="85"/>
        <w:numPr>
          <w:ilvl w:val="0"/>
          <w:numId w:val="3"/>
        </w:numPr>
        <w:ind w:left="426" w:hanging="142" w:firstLineChars="0"/>
        <w:rPr>
          <w:i/>
          <w:iCs/>
        </w:rPr>
      </w:pPr>
      <w:r>
        <w:rPr>
          <w:i/>
          <w:iCs/>
        </w:rPr>
        <w:t>Policy Measures to Accelerate the High-quality Development of Audio and Video Industry in Hunan Province</w:t>
      </w:r>
    </w:p>
    <w:p w14:paraId="7778609A">
      <w:pPr>
        <w:pStyle w:val="85"/>
        <w:numPr>
          <w:ilvl w:val="0"/>
          <w:numId w:val="3"/>
        </w:numPr>
        <w:ind w:left="426" w:hanging="142" w:firstLineChars="0"/>
        <w:rPr>
          <w:i/>
          <w:iCs/>
        </w:rPr>
      </w:pPr>
      <w:r>
        <w:rPr>
          <w:i/>
          <w:iCs/>
        </w:rPr>
        <w:t>Opinions of CPC Hunan Provincial Committee and People’s Government of Hunan Province on Accelerating the Development of Hunan as a World Tourism Destination</w:t>
      </w:r>
    </w:p>
    <w:p w14:paraId="3341FCD9">
      <w:pPr>
        <w:rPr>
          <w:i/>
          <w:iCs/>
        </w:rPr>
      </w:pPr>
      <w:r>
        <w:rPr>
          <w:iCs/>
        </w:rPr>
        <mc:AlternateContent>
          <mc:Choice Requires="wps">
            <w:drawing>
              <wp:anchor distT="0" distB="0" distL="114300" distR="114300" simplePos="0" relativeHeight="251670528" behindDoc="0" locked="0" layoutInCell="1" allowOverlap="1">
                <wp:simplePos x="0" y="0"/>
                <wp:positionH relativeFrom="column">
                  <wp:posOffset>187960</wp:posOffset>
                </wp:positionH>
                <wp:positionV relativeFrom="paragraph">
                  <wp:posOffset>153670</wp:posOffset>
                </wp:positionV>
                <wp:extent cx="3787775" cy="3037205"/>
                <wp:effectExtent l="6350" t="142875" r="15875" b="20320"/>
                <wp:wrapNone/>
                <wp:docPr id="32" name="矩形标注 41"/>
                <wp:cNvGraphicFramePr/>
                <a:graphic xmlns:a="http://schemas.openxmlformats.org/drawingml/2006/main">
                  <a:graphicData uri="http://schemas.microsoft.com/office/word/2010/wordprocessingShape">
                    <wps:wsp>
                      <wps:cNvSpPr/>
                      <wps:spPr>
                        <a:xfrm>
                          <a:off x="0" y="0"/>
                          <a:ext cx="3787775" cy="3037205"/>
                        </a:xfrm>
                        <a:prstGeom prst="wedgeRectCallout">
                          <a:avLst>
                            <a:gd name="adj1" fmla="val -41852"/>
                            <a:gd name="adj2" fmla="val -54347"/>
                          </a:avLst>
                        </a:prstGeom>
                        <a:solidFill>
                          <a:srgbClr val="E2EFD9"/>
                        </a:solidFill>
                        <a:ln w="12700" cap="flat" cmpd="sng">
                          <a:solidFill>
                            <a:srgbClr val="A8D08D"/>
                          </a:solidFill>
                          <a:prstDash val="solid"/>
                          <a:miter/>
                          <a:headEnd type="none" w="med" len="med"/>
                          <a:tailEnd type="none" w="med" len="med"/>
                        </a:ln>
                      </wps:spPr>
                      <wps:txbx>
                        <w:txbxContent>
                          <w:p w14:paraId="4B85E3B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16B00B5B">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Fiscal Support: </w:t>
                            </w:r>
                            <w:r>
                              <w:rPr>
                                <w:rFonts w:ascii="Times New Roman" w:hAnsi="Times New Roman" w:cs="Times New Roman"/>
                                <w:color w:val="3F3F3F" w:themeColor="text1" w:themeTint="BF"/>
                                <w:sz w:val="18"/>
                                <w:szCs w:val="18"/>
                              </w:rPr>
                              <w:t>Tourism enterprises that have passed the acceptance of Hunan Securities Regulatory Bureau are eligible to a subsidy of 2 million yuan from the provincial financial development special funds. Additionally, for Fortune Global 500 tourism enterprises or China Travel Service top 20 tourism enterprises establishing headquarters or regional headquarters with an annual revenue exceeding 50 million yuan, provincial tourism special funds will provide a reward equivalent to 5% of the annual revenue, up to 5 million yuan.</w:t>
                            </w:r>
                          </w:p>
                          <w:p w14:paraId="7225AF07">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Investment and Financing Support: </w:t>
                            </w:r>
                            <w:r>
                              <w:rPr>
                                <w:rFonts w:ascii="Times New Roman" w:hAnsi="Times New Roman" w:cs="Times New Roman"/>
                                <w:color w:val="3F3F3F" w:themeColor="text1" w:themeTint="BF"/>
                                <w:sz w:val="18"/>
                                <w:szCs w:val="18"/>
                              </w:rPr>
                              <w:t>Establishing large-scale investment and financing platforms to encourage the development of tourism industry investment funds, guiding the investment of financial and private capital. Supporting eligible tourism enterprises in issuing credit bonds to diversify their financing channels. Actively developing tourism risk compensation funds tailored for small and micro enterprises.</w:t>
                            </w:r>
                          </w:p>
                          <w:p w14:paraId="408F6258">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Land and Forest Use Support: </w:t>
                            </w:r>
                            <w:r>
                              <w:rPr>
                                <w:rFonts w:ascii="Times New Roman" w:hAnsi="Times New Roman" w:cs="Times New Roman"/>
                                <w:color w:val="3F3F3F" w:themeColor="text1" w:themeTint="BF"/>
                                <w:sz w:val="18"/>
                                <w:szCs w:val="18"/>
                              </w:rPr>
                              <w:t>Supporting tourism land supply through flexible models, allowing installment payments for land transfer fees in cases where lump-sum payments pose difficulties. For ecological restoration projects covering over 53 hectares of forest and grassland, the entity responsible for ecological protection and restoration can utilize up to 3% of the restoration area for eco-tourism development, in compliance with relevant laws and regulations.</w:t>
                            </w:r>
                          </w:p>
                        </w:txbxContent>
                      </wps:txbx>
                      <wps:bodyPr anchor="ctr" anchorCtr="0" upright="1"/>
                    </wps:wsp>
                  </a:graphicData>
                </a:graphic>
              </wp:anchor>
            </w:drawing>
          </mc:Choice>
          <mc:Fallback>
            <w:pict>
              <v:shape id="矩形标注 41" o:spid="_x0000_s1026" o:spt="61" type="#_x0000_t61" style="position:absolute;left:0pt;margin-left:14.8pt;margin-top:12.1pt;height:239.15pt;width:298.25pt;z-index:251670528;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" adj="1760,-939">
                <v:fill on="t" focussize="0,0"/>
                <v:stroke weight="1pt" color="#A8D08D" joinstyle="miter"/>
                <v:imagedata o:title=""/>
                <o:lock v:ext="edit" aspectratio="f"/>
                <v:textbox>
                  <w:txbxContent>
                    <w:p w14:paraId="4B85E3B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16B00B5B">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Fiscal Support: </w:t>
                      </w:r>
                      <w:r>
                        <w:rPr>
                          <w:rFonts w:ascii="Times New Roman" w:hAnsi="Times New Roman" w:cs="Times New Roman"/>
                          <w:color w:val="3F3F3F" w:themeColor="text1" w:themeTint="BF"/>
                          <w:sz w:val="18"/>
                          <w:szCs w:val="18"/>
                        </w:rPr>
                        <w:t>Tourism enterprises that have passed the acceptance of Hunan Securities Regulatory Bureau are eligible to a subsidy of 2 million yuan from the provincial financial development special funds. Additionally, for Fortune Global 500 tourism enterprises or China Travel Service top 20 tourism enterprises establishing headquarters or regional headquarters with an annual revenue exceeding 50 million yuan, provincial tourism special funds will provide a reward equivalent to 5% of the annual revenue, up to 5 million yuan.</w:t>
                      </w:r>
                    </w:p>
                    <w:p w14:paraId="7225AF07">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Investment and Financing Support: </w:t>
                      </w:r>
                      <w:r>
                        <w:rPr>
                          <w:rFonts w:ascii="Times New Roman" w:hAnsi="Times New Roman" w:cs="Times New Roman"/>
                          <w:color w:val="3F3F3F" w:themeColor="text1" w:themeTint="BF"/>
                          <w:sz w:val="18"/>
                          <w:szCs w:val="18"/>
                        </w:rPr>
                        <w:t>Establishing large-scale investment and financing platforms to encourage the development of tourism industry investment funds, guiding the investment of financial and private capital. Supporting eligible tourism enterprises in issuing credit bonds to diversify their financing channels. Actively developing tourism risk compensation funds tailored for small and micro enterprises.</w:t>
                      </w:r>
                    </w:p>
                    <w:p w14:paraId="408F6258">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Land and Forest Use Support: </w:t>
                      </w:r>
                      <w:r>
                        <w:rPr>
                          <w:rFonts w:ascii="Times New Roman" w:hAnsi="Times New Roman" w:cs="Times New Roman"/>
                          <w:color w:val="3F3F3F" w:themeColor="text1" w:themeTint="BF"/>
                          <w:sz w:val="18"/>
                          <w:szCs w:val="18"/>
                        </w:rPr>
                        <w:t>Supporting tourism land supply through flexible models, allowing installment payments for land transfer fees in cases where lump-sum payments pose difficulties. For ecological restoration projects covering over 53 hectares of forest and grassland, the entity responsible for ecological protection and restoration can utilize up to 3% of the restoration area for eco-tourism development, in compliance with relevant laws and regulations.</w:t>
                      </w:r>
                    </w:p>
                  </w:txbxContent>
                </v:textbox>
              </v:shape>
            </w:pict>
          </mc:Fallback>
        </mc:AlternateContent>
      </w:r>
    </w:p>
    <w:p w14:paraId="6E4DB31A">
      <w:pPr>
        <w:rPr>
          <w:i/>
          <w:iCs/>
        </w:rPr>
      </w:pPr>
    </w:p>
    <w:p w14:paraId="4252ED9F">
      <w:pPr>
        <w:rPr>
          <w:i/>
          <w:iCs/>
        </w:rPr>
      </w:pPr>
    </w:p>
    <w:p w14:paraId="660535CD">
      <w:pPr>
        <w:rPr>
          <w:i/>
          <w:iCs/>
        </w:rPr>
      </w:pPr>
    </w:p>
    <w:p w14:paraId="730F713C">
      <w:pPr>
        <w:rPr>
          <w:i/>
          <w:iCs/>
        </w:rPr>
      </w:pPr>
    </w:p>
    <w:p w14:paraId="6055290B">
      <w:pPr>
        <w:rPr>
          <w:i/>
          <w:iCs/>
        </w:rPr>
      </w:pPr>
    </w:p>
    <w:p w14:paraId="0FC4FF39">
      <w:pPr>
        <w:rPr>
          <w:i/>
          <w:iCs/>
        </w:rPr>
      </w:pPr>
    </w:p>
    <w:p w14:paraId="633770B6">
      <w:pPr>
        <w:rPr>
          <w:i/>
          <w:iCs/>
        </w:rPr>
      </w:pPr>
    </w:p>
    <w:p w14:paraId="44FF18DE">
      <w:pPr>
        <w:rPr>
          <w:i/>
          <w:iCs/>
        </w:rPr>
      </w:pPr>
    </w:p>
    <w:p w14:paraId="7724660E">
      <w:pPr>
        <w:rPr>
          <w:i/>
          <w:iCs/>
        </w:rPr>
      </w:pPr>
    </w:p>
    <w:p w14:paraId="2DDA4871">
      <w:pPr>
        <w:rPr>
          <w:i/>
          <w:iCs/>
        </w:rPr>
      </w:pPr>
    </w:p>
    <w:p w14:paraId="5A99F456">
      <w:pPr>
        <w:rPr>
          <w:i/>
          <w:iCs/>
        </w:rPr>
      </w:pPr>
    </w:p>
    <w:p w14:paraId="3D310CD0">
      <w:pPr>
        <w:rPr>
          <w:i/>
          <w:iCs/>
        </w:rPr>
      </w:pPr>
    </w:p>
    <w:p w14:paraId="1D48C9DE">
      <w:pPr>
        <w:rPr>
          <w:i/>
          <w:iCs/>
        </w:rPr>
      </w:pPr>
    </w:p>
    <w:p w14:paraId="6F62FF09">
      <w:pPr>
        <w:snapToGrid w:val="0"/>
        <w:spacing w:before="120" w:after="48" w:line="360" w:lineRule="exact"/>
        <w:jc w:val="center"/>
        <w:rPr>
          <w:rFonts w:ascii="Times New Roman" w:hAnsi="Times New Roman" w:eastAsia="仿宋" w:cs="Times New Roman"/>
          <w:sz w:val="18"/>
          <w:szCs w:val="16"/>
        </w:rPr>
      </w:pPr>
      <w:r>
        <w:rPr>
          <w:rFonts w:ascii="Times New Roman" w:hAnsi="Times New Roman" w:eastAsia="仿宋" w:cs="Times New Roman"/>
          <w:sz w:val="18"/>
          <w:szCs w:val="20"/>
        </w:rPr>
        <w:t>Funds supporting the culture and tourism industry</w:t>
      </w:r>
    </w:p>
    <w:tbl>
      <w:tblPr>
        <w:tblStyle w:val="44"/>
        <w:tblW w:w="5000" w:type="pct"/>
        <w:jc w:val="center"/>
        <w:tblBorders>
          <w:top w:val="single" w:color="9BBB59" w:sz="4" w:space="0"/>
          <w:left w:val="none" w:color="auto" w:sz="0" w:space="0"/>
          <w:bottom w:val="single" w:color="9BBB59"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97"/>
        <w:gridCol w:w="1253"/>
        <w:gridCol w:w="1426"/>
        <w:gridCol w:w="548"/>
        <w:gridCol w:w="741"/>
        <w:gridCol w:w="2082"/>
      </w:tblGrid>
      <w:tr w14:paraId="04183B32">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tblHeader/>
          <w:jc w:val="center"/>
        </w:trPr>
        <w:tc>
          <w:tcPr>
            <w:tcW w:w="307" w:type="pct"/>
            <w:tcBorders>
              <w:bottom w:val="single" w:color="9BBB59" w:sz="4" w:space="0"/>
            </w:tcBorders>
            <w:vAlign w:val="center"/>
          </w:tcPr>
          <w:p w14:paraId="21030654">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No.</w:t>
            </w:r>
          </w:p>
        </w:tc>
        <w:tc>
          <w:tcPr>
            <w:tcW w:w="972" w:type="pct"/>
            <w:tcBorders>
              <w:bottom w:val="single" w:color="9BBB59" w:sz="4" w:space="0"/>
            </w:tcBorders>
            <w:vAlign w:val="center"/>
          </w:tcPr>
          <w:p w14:paraId="506B610F">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Fund</w:t>
            </w:r>
          </w:p>
        </w:tc>
        <w:tc>
          <w:tcPr>
            <w:tcW w:w="1106" w:type="pct"/>
            <w:tcBorders>
              <w:bottom w:val="single" w:color="9BBB59" w:sz="4" w:space="0"/>
            </w:tcBorders>
            <w:vAlign w:val="center"/>
          </w:tcPr>
          <w:p w14:paraId="56869D7C">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Sector</w:t>
            </w:r>
          </w:p>
        </w:tc>
        <w:tc>
          <w:tcPr>
            <w:tcW w:w="425" w:type="pct"/>
            <w:tcBorders>
              <w:bottom w:val="single" w:color="9BBB59" w:sz="4" w:space="0"/>
            </w:tcBorders>
            <w:vAlign w:val="center"/>
          </w:tcPr>
          <w:p w14:paraId="270435B6">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Est. Time</w:t>
            </w:r>
          </w:p>
        </w:tc>
        <w:tc>
          <w:tcPr>
            <w:tcW w:w="575" w:type="pct"/>
            <w:tcBorders>
              <w:bottom w:val="single" w:color="9BBB59" w:sz="4" w:space="0"/>
            </w:tcBorders>
            <w:vAlign w:val="center"/>
          </w:tcPr>
          <w:p w14:paraId="5ADF46B7">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Scale (RMB)</w:t>
            </w:r>
          </w:p>
        </w:tc>
        <w:tc>
          <w:tcPr>
            <w:tcW w:w="1615" w:type="pct"/>
            <w:tcBorders>
              <w:bottom w:val="single" w:color="9BBB59" w:sz="4" w:space="0"/>
            </w:tcBorders>
            <w:vAlign w:val="center"/>
          </w:tcPr>
          <w:p w14:paraId="203844C9">
            <w:pPr>
              <w:suppressAutoHyphens/>
              <w:adjustRightInd w:val="0"/>
              <w:snapToGrid w:val="0"/>
              <w:ind w:left="-105" w:leftChars="-50" w:right="-105" w:rightChars="-50"/>
              <w:jc w:val="center"/>
              <w:rPr>
                <w:rFonts w:ascii="Times New Roman" w:hAnsi="Times New Roman" w:eastAsia="仿宋" w:cs="Times New Roman"/>
                <w:b/>
                <w:bCs/>
                <w:color w:val="auto"/>
                <w:kern w:val="0"/>
                <w:sz w:val="18"/>
                <w:szCs w:val="18"/>
              </w:rPr>
            </w:pPr>
            <w:r>
              <w:rPr>
                <w:rFonts w:ascii="Times New Roman" w:hAnsi="Times New Roman" w:eastAsia="仿宋" w:cs="Times New Roman"/>
                <w:b/>
                <w:bCs/>
                <w:color w:val="auto"/>
                <w:kern w:val="0"/>
                <w:sz w:val="18"/>
                <w:szCs w:val="18"/>
              </w:rPr>
              <w:t>Remarks</w:t>
            </w:r>
          </w:p>
        </w:tc>
      </w:tr>
      <w:tr w14:paraId="2FC84A45">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307" w:type="pct"/>
            <w:shd w:val="clear" w:color="auto" w:fill="EAF1DD"/>
            <w:vAlign w:val="center"/>
          </w:tcPr>
          <w:p w14:paraId="73CE06C9">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1</w:t>
            </w:r>
          </w:p>
        </w:tc>
        <w:tc>
          <w:tcPr>
            <w:tcW w:w="972" w:type="pct"/>
            <w:shd w:val="clear" w:color="auto" w:fill="EAF1DD"/>
            <w:vAlign w:val="center"/>
          </w:tcPr>
          <w:p w14:paraId="050F7BAE">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Hunan Culture and Tourism Industry Investment Fund</w:t>
            </w:r>
          </w:p>
        </w:tc>
        <w:tc>
          <w:tcPr>
            <w:tcW w:w="1106" w:type="pct"/>
            <w:shd w:val="clear" w:color="auto" w:fill="EAF1DD"/>
            <w:vAlign w:val="center"/>
          </w:tcPr>
          <w:p w14:paraId="4034CC1D">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Culture and arts, press and publication, radio and television networks, Internet, performing arts, sports and tourism.</w:t>
            </w:r>
          </w:p>
        </w:tc>
        <w:tc>
          <w:tcPr>
            <w:tcW w:w="425" w:type="pct"/>
            <w:shd w:val="clear" w:color="auto" w:fill="EAF1DD"/>
            <w:vAlign w:val="center"/>
          </w:tcPr>
          <w:p w14:paraId="63901B49">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2010</w:t>
            </w:r>
          </w:p>
        </w:tc>
        <w:tc>
          <w:tcPr>
            <w:tcW w:w="575" w:type="pct"/>
            <w:shd w:val="clear" w:color="auto" w:fill="EAF1DD"/>
            <w:vAlign w:val="center"/>
          </w:tcPr>
          <w:p w14:paraId="4076112B">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About 3 billion</w:t>
            </w:r>
          </w:p>
        </w:tc>
        <w:tc>
          <w:tcPr>
            <w:tcW w:w="1615" w:type="pct"/>
            <w:shd w:val="clear" w:color="auto" w:fill="EAF1DD"/>
            <w:vAlign w:val="center"/>
          </w:tcPr>
          <w:p w14:paraId="2642E422">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Jointly established by the Fortune Cultural Tourism</w:t>
            </w:r>
            <w:r>
              <w:rPr>
                <w:rFonts w:hint="eastAsia" w:ascii="Times New Roman" w:hAnsi="Times New Roman" w:eastAsia="仿宋" w:cs="Times New Roman"/>
                <w:color w:val="auto"/>
                <w:kern w:val="0"/>
                <w:sz w:val="18"/>
                <w:szCs w:val="18"/>
              </w:rPr>
              <w:t xml:space="preserve"> </w:t>
            </w:r>
            <w:r>
              <w:rPr>
                <w:rFonts w:ascii="Times New Roman" w:hAnsi="Times New Roman" w:eastAsia="仿宋" w:cs="Times New Roman"/>
                <w:color w:val="auto"/>
                <w:kern w:val="0"/>
                <w:sz w:val="18"/>
                <w:szCs w:val="18"/>
              </w:rPr>
              <w:t>(Hunan)</w:t>
            </w:r>
            <w:r>
              <w:rPr>
                <w:rFonts w:hint="eastAsia" w:ascii="Times New Roman" w:hAnsi="Times New Roman" w:eastAsia="仿宋" w:cs="Times New Roman"/>
                <w:color w:val="auto"/>
                <w:kern w:val="0"/>
                <w:sz w:val="18"/>
                <w:szCs w:val="18"/>
              </w:rPr>
              <w:t xml:space="preserve"> </w:t>
            </w:r>
            <w:r>
              <w:rPr>
                <w:rFonts w:ascii="Times New Roman" w:hAnsi="Times New Roman" w:eastAsia="仿宋" w:cs="Times New Roman"/>
                <w:color w:val="auto"/>
                <w:kern w:val="0"/>
                <w:sz w:val="18"/>
                <w:szCs w:val="18"/>
              </w:rPr>
              <w:t>Venture Capital Management Co. and Hunan High-tech Investment Group under the leadership of Hunan Provincial Department of Finance, the Publicity Department of CPC Hunan Provincial Committee, Hunan Provincial Department of Culture, Hunan Provincial Tourism Bureau and other government agencies</w:t>
            </w:r>
          </w:p>
        </w:tc>
      </w:tr>
      <w:tr w14:paraId="007B82C8">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307" w:type="pct"/>
            <w:vAlign w:val="center"/>
          </w:tcPr>
          <w:p w14:paraId="0B6EF51E">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2</w:t>
            </w:r>
          </w:p>
        </w:tc>
        <w:tc>
          <w:tcPr>
            <w:tcW w:w="972" w:type="pct"/>
            <w:vAlign w:val="center"/>
          </w:tcPr>
          <w:p w14:paraId="161D69BD">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Hunan Emerging Industry Stock Investment Guidance Fund</w:t>
            </w:r>
          </w:p>
        </w:tc>
        <w:tc>
          <w:tcPr>
            <w:tcW w:w="1106" w:type="pct"/>
            <w:vAlign w:val="center"/>
          </w:tcPr>
          <w:p w14:paraId="4E234C91">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Cultural creativity (focusing on information security, AR, VR, etc.) and other sectors</w:t>
            </w:r>
          </w:p>
        </w:tc>
        <w:tc>
          <w:tcPr>
            <w:tcW w:w="425" w:type="pct"/>
            <w:vAlign w:val="center"/>
          </w:tcPr>
          <w:p w14:paraId="5D0443AD">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2018</w:t>
            </w:r>
          </w:p>
        </w:tc>
        <w:tc>
          <w:tcPr>
            <w:tcW w:w="575" w:type="pct"/>
            <w:vAlign w:val="center"/>
          </w:tcPr>
          <w:p w14:paraId="376A88F5">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35 billion;</w:t>
            </w:r>
          </w:p>
          <w:p w14:paraId="6E634486">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phase Ⅰ: 10 billion</w:t>
            </w:r>
          </w:p>
        </w:tc>
        <w:tc>
          <w:tcPr>
            <w:tcW w:w="1615" w:type="pct"/>
            <w:vAlign w:val="center"/>
          </w:tcPr>
          <w:p w14:paraId="7E6AF702">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Managed by Hunan Chasing Fund Management with eight sub-funds established</w:t>
            </w:r>
          </w:p>
        </w:tc>
      </w:tr>
      <w:tr w14:paraId="13158ADE">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60" w:hRule="atLeast"/>
          <w:jc w:val="center"/>
        </w:trPr>
        <w:tc>
          <w:tcPr>
            <w:tcW w:w="307" w:type="pct"/>
            <w:shd w:val="clear" w:color="auto" w:fill="EAF1DD"/>
            <w:vAlign w:val="center"/>
          </w:tcPr>
          <w:p w14:paraId="30576BDC">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3</w:t>
            </w:r>
          </w:p>
        </w:tc>
        <w:tc>
          <w:tcPr>
            <w:tcW w:w="972" w:type="pct"/>
            <w:shd w:val="clear" w:color="auto" w:fill="EAF1DD"/>
            <w:vAlign w:val="center"/>
          </w:tcPr>
          <w:p w14:paraId="5160862D">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Hunan Tourism Industry Fund of Funds (FOF)</w:t>
            </w:r>
          </w:p>
        </w:tc>
        <w:tc>
          <w:tcPr>
            <w:tcW w:w="1106" w:type="pct"/>
            <w:shd w:val="clear" w:color="auto" w:fill="EAF1DD"/>
            <w:vAlign w:val="center"/>
          </w:tcPr>
          <w:p w14:paraId="7C1C0820">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Cultural tourism, hotel consumption and catering, daily life services, convention and exhibition economy, tourism and trade.</w:t>
            </w:r>
          </w:p>
        </w:tc>
        <w:tc>
          <w:tcPr>
            <w:tcW w:w="425" w:type="pct"/>
            <w:shd w:val="clear" w:color="auto" w:fill="EAF1DD"/>
            <w:vAlign w:val="center"/>
          </w:tcPr>
          <w:p w14:paraId="1D1194FE">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2023</w:t>
            </w:r>
          </w:p>
        </w:tc>
        <w:tc>
          <w:tcPr>
            <w:tcW w:w="575" w:type="pct"/>
            <w:shd w:val="clear" w:color="auto" w:fill="EAF1DD"/>
            <w:vAlign w:val="center"/>
          </w:tcPr>
          <w:p w14:paraId="6544CC21">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3 billion</w:t>
            </w:r>
          </w:p>
        </w:tc>
        <w:tc>
          <w:tcPr>
            <w:tcW w:w="1615" w:type="pct"/>
            <w:shd w:val="clear" w:color="auto" w:fill="EAF1DD"/>
            <w:vAlign w:val="center"/>
          </w:tcPr>
          <w:p w14:paraId="4F514E66">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Initiated by Hunan Tourism Group</w:t>
            </w:r>
          </w:p>
        </w:tc>
      </w:tr>
      <w:tr w14:paraId="435A8C88">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307" w:type="pct"/>
            <w:vAlign w:val="center"/>
          </w:tcPr>
          <w:p w14:paraId="26AA4651">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4</w:t>
            </w:r>
          </w:p>
        </w:tc>
        <w:tc>
          <w:tcPr>
            <w:tcW w:w="972" w:type="pct"/>
            <w:vAlign w:val="center"/>
          </w:tcPr>
          <w:p w14:paraId="1BFFBE95">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Hunan Bofu Culture Industry Fund</w:t>
            </w:r>
          </w:p>
        </w:tc>
        <w:tc>
          <w:tcPr>
            <w:tcW w:w="1106" w:type="pct"/>
            <w:vAlign w:val="center"/>
          </w:tcPr>
          <w:p w14:paraId="0279BA64">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Digital media, publishing and distribution, content production such as film, television, music and animation, culture, sports and education.</w:t>
            </w:r>
          </w:p>
        </w:tc>
        <w:tc>
          <w:tcPr>
            <w:tcW w:w="425" w:type="pct"/>
            <w:vAlign w:val="center"/>
          </w:tcPr>
          <w:p w14:paraId="561654BD">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2015</w:t>
            </w:r>
          </w:p>
        </w:tc>
        <w:tc>
          <w:tcPr>
            <w:tcW w:w="575" w:type="pct"/>
            <w:vAlign w:val="center"/>
          </w:tcPr>
          <w:p w14:paraId="178BA472">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1 billion; phase Ⅰ: 410 million</w:t>
            </w:r>
          </w:p>
        </w:tc>
        <w:tc>
          <w:tcPr>
            <w:tcW w:w="1615" w:type="pct"/>
            <w:vAlign w:val="center"/>
          </w:tcPr>
          <w:p w14:paraId="437628A8">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Managed by Hunan Bofu Fund Management</w:t>
            </w:r>
          </w:p>
        </w:tc>
      </w:tr>
      <w:tr w14:paraId="3207F891">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307" w:type="pct"/>
            <w:shd w:val="clear" w:color="auto" w:fill="EAF1DD"/>
            <w:vAlign w:val="center"/>
          </w:tcPr>
          <w:p w14:paraId="1AEEDA60">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5</w:t>
            </w:r>
          </w:p>
        </w:tc>
        <w:tc>
          <w:tcPr>
            <w:tcW w:w="972" w:type="pct"/>
            <w:shd w:val="clear" w:color="auto" w:fill="EAF1DD"/>
            <w:vAlign w:val="center"/>
          </w:tcPr>
          <w:p w14:paraId="28B971EC">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Zhuzhou Industrial Acceleration Fund</w:t>
            </w:r>
          </w:p>
        </w:tc>
        <w:tc>
          <w:tcPr>
            <w:tcW w:w="1106" w:type="pct"/>
            <w:shd w:val="clear" w:color="auto" w:fill="EAF1DD"/>
            <w:vAlign w:val="center"/>
          </w:tcPr>
          <w:p w14:paraId="0038A380">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Culture and tourism in Zhuzhou City, with a focus on the “China Power Valley 3+5+2” industrial system,</w:t>
            </w:r>
          </w:p>
        </w:tc>
        <w:tc>
          <w:tcPr>
            <w:tcW w:w="425" w:type="pct"/>
            <w:shd w:val="clear" w:color="auto" w:fill="EAF1DD"/>
            <w:vAlign w:val="center"/>
          </w:tcPr>
          <w:p w14:paraId="588F626D">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2019</w:t>
            </w:r>
          </w:p>
        </w:tc>
        <w:tc>
          <w:tcPr>
            <w:tcW w:w="575" w:type="pct"/>
            <w:shd w:val="clear" w:color="auto" w:fill="EAF1DD"/>
            <w:vAlign w:val="center"/>
          </w:tcPr>
          <w:p w14:paraId="7F90E613">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3 billion</w:t>
            </w:r>
          </w:p>
        </w:tc>
        <w:tc>
          <w:tcPr>
            <w:tcW w:w="1615" w:type="pct"/>
            <w:shd w:val="clear" w:color="auto" w:fill="EAF1DD"/>
            <w:vAlign w:val="center"/>
          </w:tcPr>
          <w:p w14:paraId="651CC044">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Jointly launched by Zero2IPO and Zhuzhou State-owned Asset Investment Holding Group</w:t>
            </w:r>
          </w:p>
        </w:tc>
      </w:tr>
      <w:tr w14:paraId="3BC49958">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307" w:type="pct"/>
            <w:vAlign w:val="center"/>
          </w:tcPr>
          <w:p w14:paraId="43B5388C">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6</w:t>
            </w:r>
          </w:p>
        </w:tc>
        <w:tc>
          <w:tcPr>
            <w:tcW w:w="972" w:type="pct"/>
            <w:vAlign w:val="center"/>
          </w:tcPr>
          <w:p w14:paraId="154D6FB5">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Chenzhou Culture and Tourism Industry Development Fund</w:t>
            </w:r>
          </w:p>
        </w:tc>
        <w:tc>
          <w:tcPr>
            <w:tcW w:w="1106" w:type="pct"/>
            <w:vAlign w:val="center"/>
          </w:tcPr>
          <w:p w14:paraId="4F88F412">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Leveraging more social capital to invest in Chenzhou’s culture and tourism industry.</w:t>
            </w:r>
          </w:p>
        </w:tc>
        <w:tc>
          <w:tcPr>
            <w:tcW w:w="425" w:type="pct"/>
            <w:vAlign w:val="center"/>
          </w:tcPr>
          <w:p w14:paraId="4C43CA80">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2023</w:t>
            </w:r>
          </w:p>
        </w:tc>
        <w:tc>
          <w:tcPr>
            <w:tcW w:w="575" w:type="pct"/>
            <w:vAlign w:val="center"/>
          </w:tcPr>
          <w:p w14:paraId="6D2C65F2">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 billion</w:t>
            </w:r>
          </w:p>
        </w:tc>
        <w:tc>
          <w:tcPr>
            <w:tcW w:w="1615" w:type="pct"/>
            <w:vAlign w:val="center"/>
          </w:tcPr>
          <w:p w14:paraId="43AABDF1">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Initiated by Hunan Tourism Group as the first sub-fund of Hunan Provincial Tourism Industry Fund of Funds (FOF) in cities of Hunan</w:t>
            </w:r>
          </w:p>
        </w:tc>
      </w:tr>
      <w:tr w14:paraId="777A2F8C">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307" w:type="pct"/>
            <w:shd w:val="clear" w:color="auto" w:fill="EAF1DD"/>
            <w:vAlign w:val="center"/>
          </w:tcPr>
          <w:p w14:paraId="07CBA388">
            <w:pPr>
              <w:suppressAutoHyphens/>
              <w:adjustRightInd w:val="0"/>
              <w:snapToGrid w:val="0"/>
              <w:ind w:left="-105" w:leftChars="-50" w:right="-105" w:rightChars="-50"/>
              <w:jc w:val="center"/>
              <w:rPr>
                <w:rFonts w:ascii="Times New Roman" w:hAnsi="Times New Roman" w:eastAsia="仿宋" w:cs="Times New Roman"/>
                <w:b w:val="0"/>
                <w:bCs w:val="0"/>
                <w:color w:val="auto"/>
                <w:kern w:val="0"/>
                <w:sz w:val="18"/>
                <w:szCs w:val="18"/>
              </w:rPr>
            </w:pPr>
            <w:r>
              <w:rPr>
                <w:rFonts w:ascii="Times New Roman" w:hAnsi="Times New Roman" w:eastAsia="仿宋" w:cs="Times New Roman"/>
                <w:b w:val="0"/>
                <w:bCs w:val="0"/>
                <w:color w:val="auto"/>
                <w:kern w:val="0"/>
                <w:sz w:val="18"/>
                <w:szCs w:val="18"/>
              </w:rPr>
              <w:t>7</w:t>
            </w:r>
          </w:p>
        </w:tc>
        <w:tc>
          <w:tcPr>
            <w:tcW w:w="972" w:type="pct"/>
            <w:shd w:val="clear" w:color="auto" w:fill="EAF1DD"/>
            <w:vAlign w:val="center"/>
          </w:tcPr>
          <w:p w14:paraId="508D7B06">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Huaihua Industrial Development Guidance Fund</w:t>
            </w:r>
          </w:p>
        </w:tc>
        <w:tc>
          <w:tcPr>
            <w:tcW w:w="1106" w:type="pct"/>
            <w:shd w:val="clear" w:color="auto" w:fill="EAF1DD"/>
            <w:vAlign w:val="center"/>
          </w:tcPr>
          <w:p w14:paraId="62C2522E">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Establishing six development sub-funds, including the eco-cultural tourism industry</w:t>
            </w:r>
          </w:p>
        </w:tc>
        <w:tc>
          <w:tcPr>
            <w:tcW w:w="425" w:type="pct"/>
            <w:shd w:val="clear" w:color="auto" w:fill="EAF1DD"/>
            <w:vAlign w:val="center"/>
          </w:tcPr>
          <w:p w14:paraId="33CECCAE">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2019</w:t>
            </w:r>
          </w:p>
        </w:tc>
        <w:tc>
          <w:tcPr>
            <w:tcW w:w="575" w:type="pct"/>
            <w:shd w:val="clear" w:color="auto" w:fill="EAF1DD"/>
            <w:vAlign w:val="center"/>
          </w:tcPr>
          <w:p w14:paraId="44DF3477">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1 billion</w:t>
            </w:r>
          </w:p>
        </w:tc>
        <w:tc>
          <w:tcPr>
            <w:tcW w:w="1615" w:type="pct"/>
            <w:shd w:val="clear" w:color="auto" w:fill="EAF1DD"/>
            <w:vAlign w:val="center"/>
          </w:tcPr>
          <w:p w14:paraId="4EB7B721">
            <w:pPr>
              <w:suppressAutoHyphens/>
              <w:adjustRightInd w:val="0"/>
              <w:snapToGrid w:val="0"/>
              <w:ind w:left="-105" w:leftChars="-50" w:right="-105" w:rightChars="-50"/>
              <w:jc w:val="center"/>
              <w:rPr>
                <w:rFonts w:ascii="Times New Roman" w:hAnsi="Times New Roman" w:eastAsia="仿宋" w:cs="Times New Roman"/>
                <w:color w:val="auto"/>
                <w:kern w:val="0"/>
                <w:sz w:val="18"/>
                <w:szCs w:val="18"/>
              </w:rPr>
            </w:pPr>
            <w:r>
              <w:rPr>
                <w:rFonts w:ascii="Times New Roman" w:hAnsi="Times New Roman" w:eastAsia="仿宋" w:cs="Times New Roman"/>
                <w:color w:val="auto"/>
                <w:kern w:val="0"/>
                <w:sz w:val="18"/>
                <w:szCs w:val="18"/>
              </w:rPr>
              <w:t>Jointly established by Huaihua Municipal People’s Government and Guangzhou Nan Yue Fund Group</w:t>
            </w:r>
          </w:p>
        </w:tc>
      </w:tr>
      <w:bookmarkEnd w:id="100"/>
    </w:tbl>
    <w:p w14:paraId="30D3D13F">
      <w:pPr>
        <w:keepNext/>
        <w:snapToGrid w:val="0"/>
        <w:spacing w:beforeLines="50" w:line="340" w:lineRule="exact"/>
        <w:ind w:firstLine="442" w:firstLineChars="200"/>
        <w:outlineLvl w:val="2"/>
        <w:rPr>
          <w:rFonts w:ascii="Times New Roman" w:hAnsi="Times New Roman" w:eastAsia="黑体" w:cs="Times New Roman"/>
          <w:b/>
          <w:sz w:val="22"/>
          <w:szCs w:val="24"/>
        </w:rPr>
      </w:pPr>
      <w:bookmarkStart w:id="130" w:name="_Toc163910337"/>
      <w:r>
        <w:rPr>
          <w:rFonts w:ascii="Times New Roman" w:hAnsi="Times New Roman" w:eastAsia="黑体" w:cs="Times New Roman"/>
          <w:b/>
          <w:sz w:val="22"/>
          <w:szCs w:val="24"/>
        </w:rPr>
        <w:t>(4) Investment O</w:t>
      </w:r>
      <w:r>
        <w:rPr>
          <w:rFonts w:hint="eastAsia" w:ascii="Times New Roman" w:hAnsi="Times New Roman" w:eastAsia="黑体" w:cs="Times New Roman"/>
          <w:b/>
          <w:sz w:val="22"/>
          <w:szCs w:val="24"/>
        </w:rPr>
        <w:t>rientation</w:t>
      </w:r>
      <w:r>
        <w:rPr>
          <w:rFonts w:ascii="Times New Roman" w:hAnsi="Times New Roman" w:eastAsia="黑体" w:cs="Times New Roman"/>
          <w:b/>
          <w:sz w:val="22"/>
          <w:szCs w:val="24"/>
        </w:rPr>
        <w:t xml:space="preserve"> and Industrial Layout</w:t>
      </w:r>
      <w:bookmarkEnd w:id="130"/>
    </w:p>
    <w:p w14:paraId="189BA956">
      <w:pPr>
        <w:snapToGrid w:val="0"/>
        <w:spacing w:line="340" w:lineRule="exact"/>
        <w:ind w:firstLine="442" w:firstLineChars="200"/>
        <w:rPr>
          <w:rFonts w:ascii="Times New Roman" w:hAnsi="Times New Roman" w:eastAsia="黑体" w:cs="Times New Roman"/>
          <w:bCs/>
          <w:sz w:val="22"/>
          <w:szCs w:val="24"/>
        </w:rPr>
      </w:pPr>
      <w:bookmarkStart w:id="131" w:name="_Hlk163835767"/>
      <w:r>
        <w:rPr>
          <w:rFonts w:ascii="Times New Roman" w:hAnsi="Times New Roman" w:eastAsia="黑体" w:cs="Times New Roman"/>
          <w:b/>
          <w:sz w:val="22"/>
          <w:szCs w:val="24"/>
        </w:rPr>
        <w:t>Audio &amp; video industries</w:t>
      </w:r>
      <w:bookmarkEnd w:id="131"/>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With a focus on building “China’s V Valley”, we aim to establish the “capture, editing, broadcasting, transmission, display” software and hardware industrial chain and attract advanced audio and video production enterprises specializing in digital human, video AI, etc. to Malanshan Video Cultural and Creative Industrial Park and other relevant parks; enterprises in new audio and video consumer electronics industry to Changsha Jinxia ETDZ, Wangcheng ETDZ, etc.; enterprises engaged in audio and video software, key components, and core equipment industries to Xiangjiang New Area, Tianxin ETDZ, etc.; enterprises specializing in new displays, intelligent audio-visual products, etc. to Liuyang ETDZ, </w:t>
      </w:r>
    </w:p>
    <w:p w14:paraId="3A4424C9">
      <w:pPr>
        <w:snapToGrid w:val="0"/>
        <w:spacing w:line="340" w:lineRule="exact"/>
        <w:ind w:firstLine="440" w:firstLineChars="200"/>
        <w:rPr>
          <w:rFonts w:ascii="Times New Roman" w:hAnsi="Times New Roman" w:eastAsia="黑体" w:cs="Times New Roman"/>
          <w:bCs/>
          <w:sz w:val="22"/>
          <w:szCs w:val="24"/>
        </w:rPr>
      </w:pPr>
    </w:p>
    <w:p w14:paraId="5E96F9F5">
      <w:pPr>
        <w:snapToGrid w:val="0"/>
        <w:spacing w:line="340" w:lineRule="exact"/>
        <w:ind w:firstLine="440" w:firstLineChars="200"/>
        <w:rPr>
          <w:rFonts w:ascii="Times New Roman" w:hAnsi="Times New Roman" w:eastAsia="黑体" w:cs="Times New Roman"/>
          <w:bCs/>
          <w:sz w:val="22"/>
          <w:szCs w:val="24"/>
        </w:rPr>
      </w:pPr>
    </w:p>
    <w:p w14:paraId="1E13DBFC">
      <w:pPr>
        <w:snapToGrid w:val="0"/>
        <w:spacing w:line="340" w:lineRule="exact"/>
        <w:ind w:firstLine="440" w:firstLineChars="200"/>
        <w:rPr>
          <w:rFonts w:ascii="Times New Roman" w:hAnsi="Times New Roman" w:eastAsia="黑体" w:cs="Times New Roman"/>
          <w:bCs/>
          <w:sz w:val="22"/>
          <w:szCs w:val="24"/>
        </w:rPr>
      </w:pPr>
    </w:p>
    <w:p w14:paraId="7C66660F">
      <w:pPr>
        <w:snapToGrid w:val="0"/>
        <w:spacing w:line="340" w:lineRule="exact"/>
        <w:ind w:firstLine="440" w:firstLineChars="200"/>
        <w:rPr>
          <w:rFonts w:ascii="Times New Roman" w:hAnsi="Times New Roman" w:eastAsia="黑体" w:cs="Times New Roman"/>
          <w:bCs/>
          <w:sz w:val="22"/>
          <w:szCs w:val="24"/>
        </w:rPr>
      </w:pPr>
      <w:r>
        <w:rPr>
          <w:rFonts w:hint="eastAsia" w:ascii="Times New Roman" w:hAnsi="Times New Roman" w:eastAsia="黑体" w:cs="Times New Roman"/>
          <w:bCs/>
          <w:sz w:val="22"/>
          <w:szCs w:val="24"/>
        </w:rPr>
        <w:drawing>
          <wp:anchor distT="0" distB="0" distL="114300" distR="114300" simplePos="0" relativeHeight="251702272" behindDoc="0" locked="0" layoutInCell="1" allowOverlap="1">
            <wp:simplePos x="0" y="0"/>
            <wp:positionH relativeFrom="column">
              <wp:posOffset>-876300</wp:posOffset>
            </wp:positionH>
            <wp:positionV relativeFrom="paragraph">
              <wp:posOffset>209550</wp:posOffset>
            </wp:positionV>
            <wp:extent cx="5686425" cy="3851275"/>
            <wp:effectExtent l="0" t="876300" r="0" b="873125"/>
            <wp:wrapNone/>
            <wp:docPr id="11827332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27" name="图片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rot="16200000">
                      <a:off x="0" y="0"/>
                      <a:ext cx="5686425" cy="3851275"/>
                    </a:xfrm>
                    <a:prstGeom prst="rect">
                      <a:avLst/>
                    </a:prstGeom>
                    <a:noFill/>
                    <a:ln>
                      <a:noFill/>
                    </a:ln>
                  </pic:spPr>
                </pic:pic>
              </a:graphicData>
            </a:graphic>
          </wp:anchor>
        </w:drawing>
      </w:r>
    </w:p>
    <w:p w14:paraId="5970B54C">
      <w:pPr>
        <w:snapToGrid w:val="0"/>
        <w:spacing w:line="340" w:lineRule="exact"/>
        <w:ind w:firstLine="440" w:firstLineChars="200"/>
        <w:rPr>
          <w:rFonts w:ascii="Times New Roman" w:hAnsi="Times New Roman" w:eastAsia="黑体" w:cs="Times New Roman"/>
          <w:bCs/>
          <w:sz w:val="22"/>
          <w:szCs w:val="24"/>
        </w:rPr>
      </w:pPr>
    </w:p>
    <w:p w14:paraId="657E45CA">
      <w:pPr>
        <w:snapToGrid w:val="0"/>
        <w:spacing w:line="340" w:lineRule="exact"/>
        <w:ind w:firstLine="440" w:firstLineChars="200"/>
        <w:rPr>
          <w:rFonts w:ascii="Times New Roman" w:hAnsi="Times New Roman" w:eastAsia="黑体" w:cs="Times New Roman"/>
          <w:bCs/>
          <w:sz w:val="22"/>
          <w:szCs w:val="24"/>
        </w:rPr>
      </w:pPr>
    </w:p>
    <w:p w14:paraId="7F78170E">
      <w:pPr>
        <w:snapToGrid w:val="0"/>
        <w:spacing w:line="340" w:lineRule="exact"/>
        <w:ind w:firstLine="440" w:firstLineChars="200"/>
        <w:rPr>
          <w:rFonts w:ascii="Times New Roman" w:hAnsi="Times New Roman" w:eastAsia="黑体" w:cs="Times New Roman"/>
          <w:bCs/>
          <w:sz w:val="22"/>
          <w:szCs w:val="24"/>
        </w:rPr>
      </w:pPr>
    </w:p>
    <w:p w14:paraId="173AD711">
      <w:pPr>
        <w:snapToGrid w:val="0"/>
        <w:spacing w:line="340" w:lineRule="exact"/>
        <w:ind w:firstLine="440" w:firstLineChars="200"/>
        <w:rPr>
          <w:rFonts w:ascii="Times New Roman" w:hAnsi="Times New Roman" w:eastAsia="黑体" w:cs="Times New Roman"/>
          <w:bCs/>
          <w:sz w:val="22"/>
          <w:szCs w:val="24"/>
        </w:rPr>
      </w:pPr>
    </w:p>
    <w:p w14:paraId="73068534">
      <w:pPr>
        <w:snapToGrid w:val="0"/>
        <w:spacing w:line="340" w:lineRule="exact"/>
        <w:ind w:firstLine="440" w:firstLineChars="200"/>
        <w:rPr>
          <w:rFonts w:ascii="Times New Roman" w:hAnsi="Times New Roman" w:eastAsia="黑体" w:cs="Times New Roman"/>
          <w:bCs/>
          <w:sz w:val="22"/>
          <w:szCs w:val="24"/>
        </w:rPr>
      </w:pPr>
    </w:p>
    <w:p w14:paraId="27227C8E">
      <w:pPr>
        <w:snapToGrid w:val="0"/>
        <w:spacing w:line="340" w:lineRule="exact"/>
        <w:ind w:firstLine="440" w:firstLineChars="200"/>
        <w:rPr>
          <w:rFonts w:ascii="Times New Roman" w:hAnsi="Times New Roman" w:eastAsia="黑体" w:cs="Times New Roman"/>
          <w:bCs/>
          <w:sz w:val="22"/>
          <w:szCs w:val="24"/>
        </w:rPr>
      </w:pPr>
    </w:p>
    <w:p w14:paraId="6C837C2A">
      <w:pPr>
        <w:snapToGrid w:val="0"/>
        <w:spacing w:line="340" w:lineRule="exact"/>
        <w:ind w:firstLine="440" w:firstLineChars="200"/>
        <w:rPr>
          <w:rFonts w:ascii="Times New Roman" w:hAnsi="Times New Roman" w:eastAsia="黑体" w:cs="Times New Roman"/>
          <w:bCs/>
          <w:sz w:val="22"/>
          <w:szCs w:val="24"/>
        </w:rPr>
      </w:pPr>
    </w:p>
    <w:p w14:paraId="099D9579">
      <w:pPr>
        <w:snapToGrid w:val="0"/>
        <w:spacing w:line="340" w:lineRule="exact"/>
        <w:ind w:firstLine="440" w:firstLineChars="200"/>
        <w:rPr>
          <w:rFonts w:ascii="Times New Roman" w:hAnsi="Times New Roman" w:eastAsia="黑体" w:cs="Times New Roman"/>
          <w:bCs/>
          <w:sz w:val="22"/>
          <w:szCs w:val="24"/>
        </w:rPr>
      </w:pPr>
    </w:p>
    <w:p w14:paraId="35CFBA3B">
      <w:pPr>
        <w:snapToGrid w:val="0"/>
        <w:spacing w:line="340" w:lineRule="exact"/>
        <w:ind w:firstLine="440" w:firstLineChars="200"/>
        <w:rPr>
          <w:rFonts w:ascii="Times New Roman" w:hAnsi="Times New Roman" w:eastAsia="黑体" w:cs="Times New Roman"/>
          <w:bCs/>
          <w:sz w:val="22"/>
          <w:szCs w:val="24"/>
        </w:rPr>
      </w:pPr>
    </w:p>
    <w:p w14:paraId="48D4C4CC">
      <w:pPr>
        <w:snapToGrid w:val="0"/>
        <w:spacing w:line="340" w:lineRule="exact"/>
        <w:ind w:firstLine="440" w:firstLineChars="200"/>
        <w:rPr>
          <w:rFonts w:ascii="Times New Roman" w:hAnsi="Times New Roman" w:eastAsia="黑体" w:cs="Times New Roman"/>
          <w:bCs/>
          <w:sz w:val="22"/>
          <w:szCs w:val="24"/>
        </w:rPr>
      </w:pPr>
    </w:p>
    <w:p w14:paraId="3B6DCB00">
      <w:pPr>
        <w:snapToGrid w:val="0"/>
        <w:spacing w:line="340" w:lineRule="exact"/>
        <w:ind w:firstLine="440" w:firstLineChars="200"/>
        <w:rPr>
          <w:rFonts w:ascii="Times New Roman" w:hAnsi="Times New Roman" w:eastAsia="黑体" w:cs="Times New Roman"/>
          <w:bCs/>
          <w:sz w:val="22"/>
          <w:szCs w:val="24"/>
        </w:rPr>
      </w:pPr>
    </w:p>
    <w:p w14:paraId="71EDD056">
      <w:pPr>
        <w:snapToGrid w:val="0"/>
        <w:spacing w:line="340" w:lineRule="exact"/>
        <w:ind w:firstLine="440" w:firstLineChars="200"/>
        <w:rPr>
          <w:rFonts w:ascii="Times New Roman" w:hAnsi="Times New Roman" w:eastAsia="黑体" w:cs="Times New Roman"/>
          <w:bCs/>
          <w:sz w:val="22"/>
          <w:szCs w:val="24"/>
        </w:rPr>
      </w:pPr>
    </w:p>
    <w:p w14:paraId="234E58C8">
      <w:pPr>
        <w:snapToGrid w:val="0"/>
        <w:spacing w:line="340" w:lineRule="exact"/>
        <w:ind w:firstLine="440" w:firstLineChars="200"/>
        <w:rPr>
          <w:rFonts w:ascii="Times New Roman" w:hAnsi="Times New Roman" w:eastAsia="黑体" w:cs="Times New Roman"/>
          <w:bCs/>
          <w:sz w:val="22"/>
          <w:szCs w:val="24"/>
        </w:rPr>
      </w:pPr>
    </w:p>
    <w:p w14:paraId="7365A110">
      <w:pPr>
        <w:snapToGrid w:val="0"/>
        <w:spacing w:line="340" w:lineRule="exact"/>
        <w:ind w:firstLine="440" w:firstLineChars="200"/>
        <w:rPr>
          <w:rFonts w:ascii="Times New Roman" w:hAnsi="Times New Roman" w:eastAsia="黑体" w:cs="Times New Roman"/>
          <w:bCs/>
          <w:sz w:val="22"/>
          <w:szCs w:val="24"/>
        </w:rPr>
      </w:pPr>
    </w:p>
    <w:p w14:paraId="0A5111B1">
      <w:pPr>
        <w:snapToGrid w:val="0"/>
        <w:spacing w:line="340" w:lineRule="exact"/>
        <w:ind w:firstLine="440" w:firstLineChars="200"/>
        <w:rPr>
          <w:rFonts w:ascii="Times New Roman" w:hAnsi="Times New Roman" w:eastAsia="黑体" w:cs="Times New Roman"/>
          <w:bCs/>
          <w:sz w:val="22"/>
          <w:szCs w:val="24"/>
        </w:rPr>
      </w:pPr>
    </w:p>
    <w:p w14:paraId="20453C48">
      <w:pPr>
        <w:snapToGrid w:val="0"/>
        <w:spacing w:line="340" w:lineRule="exact"/>
        <w:ind w:firstLine="440" w:firstLineChars="200"/>
        <w:rPr>
          <w:rFonts w:ascii="Times New Roman" w:hAnsi="Times New Roman" w:eastAsia="黑体" w:cs="Times New Roman"/>
          <w:bCs/>
          <w:sz w:val="22"/>
          <w:szCs w:val="24"/>
        </w:rPr>
      </w:pPr>
    </w:p>
    <w:p w14:paraId="7A8A18DB">
      <w:pPr>
        <w:snapToGrid w:val="0"/>
        <w:spacing w:line="340" w:lineRule="exact"/>
        <w:ind w:firstLine="440" w:firstLineChars="200"/>
        <w:rPr>
          <w:rFonts w:ascii="Times New Roman" w:hAnsi="Times New Roman" w:eastAsia="黑体" w:cs="Times New Roman"/>
          <w:bCs/>
          <w:sz w:val="22"/>
          <w:szCs w:val="24"/>
        </w:rPr>
      </w:pPr>
    </w:p>
    <w:p w14:paraId="5CDD33DD">
      <w:pPr>
        <w:snapToGrid w:val="0"/>
        <w:spacing w:line="340" w:lineRule="exact"/>
        <w:ind w:firstLine="440" w:firstLineChars="200"/>
        <w:rPr>
          <w:rFonts w:ascii="Times New Roman" w:hAnsi="Times New Roman" w:eastAsia="黑体" w:cs="Times New Roman"/>
          <w:bCs/>
          <w:sz w:val="22"/>
          <w:szCs w:val="24"/>
        </w:rPr>
      </w:pPr>
    </w:p>
    <w:p w14:paraId="261D56C6">
      <w:pPr>
        <w:snapToGrid w:val="0"/>
        <w:spacing w:line="340" w:lineRule="exact"/>
        <w:ind w:firstLine="440" w:firstLineChars="200"/>
        <w:rPr>
          <w:rFonts w:ascii="Times New Roman" w:hAnsi="Times New Roman" w:eastAsia="黑体" w:cs="Times New Roman"/>
          <w:bCs/>
          <w:sz w:val="22"/>
          <w:szCs w:val="24"/>
        </w:rPr>
      </w:pPr>
    </w:p>
    <w:p w14:paraId="725D7611">
      <w:pPr>
        <w:snapToGrid w:val="0"/>
        <w:spacing w:line="340" w:lineRule="exact"/>
        <w:rPr>
          <w:rFonts w:ascii="Times New Roman" w:hAnsi="Times New Roman" w:eastAsia="黑体" w:cs="Times New Roman"/>
          <w:bCs/>
          <w:sz w:val="22"/>
          <w:szCs w:val="24"/>
        </w:rPr>
      </w:pPr>
      <w:r>
        <w:rPr>
          <w:rFonts w:ascii="Times New Roman" w:hAnsi="Times New Roman" w:eastAsia="黑体" w:cs="Times New Roman"/>
          <w:bCs/>
          <w:sz w:val="22"/>
          <w:szCs w:val="24"/>
        </w:rPr>
        <w:t>Hengyang HTZ, etc.</w:t>
      </w:r>
    </w:p>
    <w:p w14:paraId="3BCD336B">
      <w:pPr>
        <w:snapToGrid w:val="0"/>
        <w:spacing w:line="360" w:lineRule="exact"/>
        <w:ind w:firstLine="442" w:firstLineChars="200"/>
        <w:rPr>
          <w:rFonts w:ascii="Times New Roman" w:hAnsi="Times New Roman" w:eastAsia="黑体" w:cs="Times New Roman"/>
          <w:bCs/>
          <w:sz w:val="22"/>
          <w:szCs w:val="24"/>
        </w:rPr>
      </w:pPr>
      <w:bookmarkStart w:id="132" w:name="_Hlk163835775"/>
      <w:r>
        <w:rPr>
          <w:rFonts w:ascii="Times New Roman" w:hAnsi="Times New Roman" w:eastAsia="黑体" w:cs="Times New Roman"/>
          <w:b/>
          <w:sz w:val="22"/>
          <w:szCs w:val="24"/>
        </w:rPr>
        <w:t>Cultural and creativity industries</w:t>
      </w:r>
      <w:bookmarkEnd w:id="132"/>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Tianxin Cultural Industrial Park in Changsha and Zhaoshan Cultural Industrial Park in Xiangtan, with a focus on the core business sectors of long-form video content, we aim to attract enterprises in entertainment, film and television media, advertising culture and creative industries. Based on Malanshan Video Cultural and Creative Industrial Park and Xiangtai Cultural and Creative Industry Park, emphasis will be placed on attracting enterprises in animation production, game development, game operation, and other animation and game industries. Based on Changsha, we aim to attract entertainment brand-related enterprises, as well as research and development and production enterprises of new stage equipment, digital multimedia entertainment equipment, game &amp; amusement equipment.</w:t>
      </w:r>
    </w:p>
    <w:p w14:paraId="7796B091">
      <w:pPr>
        <w:snapToGrid w:val="0"/>
        <w:spacing w:line="360" w:lineRule="exact"/>
        <w:ind w:firstLine="442" w:firstLineChars="200"/>
        <w:rPr>
          <w:rFonts w:ascii="Times New Roman" w:hAnsi="Times New Roman" w:eastAsia="仿宋" w:cs="Times New Roman"/>
          <w:sz w:val="22"/>
          <w:szCs w:val="24"/>
        </w:rPr>
      </w:pPr>
      <w:bookmarkStart w:id="133" w:name="_Hlk163835784"/>
      <w:r>
        <w:rPr>
          <w:rFonts w:ascii="Times New Roman" w:hAnsi="Times New Roman" w:eastAsia="黑体" w:cs="Times New Roman"/>
          <w:b/>
          <w:sz w:val="22"/>
          <w:szCs w:val="24"/>
        </w:rPr>
        <w:t>All-for-one tourism</w:t>
      </w:r>
      <w:bookmarkEnd w:id="133"/>
      <w:r>
        <w:rPr>
          <w:rFonts w:ascii="Times New Roman" w:hAnsi="Times New Roman" w:eastAsia="黑体" w:cs="Times New Roman"/>
          <w:b/>
          <w:sz w:val="22"/>
          <w:szCs w:val="24"/>
        </w:rPr>
        <w:t>.</w:t>
      </w:r>
      <w:r>
        <w:rPr>
          <w:rFonts w:ascii="Times New Roman" w:hAnsi="Times New Roman" w:eastAsia="黑体" w:cs="Times New Roman"/>
          <w:bCs/>
          <w:sz w:val="22"/>
          <w:szCs w:val="24"/>
        </w:rPr>
        <w:t xml:space="preserve"> Based on iconic scenic spots such as Zhangjiajie, Langshan Mountain, Mangshan Mountain, Yueyang Tower, Xuefeng Mountain, and Liuye Lake, we aim to attract tourism service providers specializing in intelligent transportation, smart accommodation, smart scenic spots, etc. Based on various tourist destinations in cities and prefectures, we aim to attract enterprises engaged in developing and operating new tourism products such as study tours, health, ice and snow, exploration, stargazing, summer and winter retreats, night tours, urban strolls, etc.</w:t>
      </w:r>
      <w:r>
        <w:rPr>
          <w:rFonts w:ascii="Times New Roman" w:hAnsi="Times New Roman" w:cs="Times New Roman"/>
        </w:rPr>
        <w:br w:type="page"/>
      </w:r>
    </w:p>
    <w:p w14:paraId="668664F0">
      <w:pPr>
        <w:snapToGrid w:val="0"/>
        <w:spacing w:afterLines="100" w:line="360" w:lineRule="exact"/>
        <w:jc w:val="center"/>
        <w:outlineLvl w:val="0"/>
        <w:rPr>
          <w:rFonts w:ascii="Times New Roman" w:hAnsi="Times New Roman" w:eastAsia="仿宋" w:cs="Times New Roman"/>
          <w:b/>
          <w:bCs/>
          <w:sz w:val="28"/>
          <w:szCs w:val="28"/>
        </w:rPr>
      </w:pPr>
      <w:bookmarkStart w:id="134" w:name="_Toc163910338"/>
      <w:bookmarkStart w:id="135" w:name="_Hlk163327222"/>
      <w:r>
        <w:rPr>
          <w:rFonts w:ascii="Times New Roman" w:hAnsi="Times New Roman" w:eastAsia="仿宋" w:cs="Times New Roman"/>
          <w:b/>
          <w:bCs/>
          <w:sz w:val="28"/>
          <w:szCs w:val="28"/>
        </w:rPr>
        <w:t>III. Emerging Industries</w:t>
      </w:r>
      <w:bookmarkEnd w:id="134"/>
    </w:p>
    <w:p w14:paraId="43C853B8">
      <w:pPr>
        <w:keepNext/>
        <w:snapToGrid w:val="0"/>
        <w:spacing w:afterLines="50" w:line="360" w:lineRule="exact"/>
        <w:jc w:val="center"/>
        <w:outlineLvl w:val="1"/>
        <w:rPr>
          <w:rFonts w:ascii="Times New Roman" w:hAnsi="Times New Roman" w:eastAsia="仿宋" w:cs="Times New Roman"/>
          <w:b/>
          <w:bCs/>
          <w:sz w:val="22"/>
          <w:szCs w:val="24"/>
        </w:rPr>
      </w:pPr>
      <w:bookmarkStart w:id="136" w:name="_Toc163910339"/>
      <w:r>
        <w:rPr>
          <w:rFonts w:hint="eastAsia" w:ascii="Times New Roman" w:hAnsi="Times New Roman" w:eastAsia="仿宋" w:cs="Times New Roman"/>
          <w:b/>
          <w:bCs/>
          <w:sz w:val="22"/>
          <w:szCs w:val="24"/>
        </w:rPr>
        <w:t xml:space="preserve">9. </w:t>
      </w:r>
      <w:r>
        <w:rPr>
          <w:rFonts w:ascii="Times New Roman" w:hAnsi="Times New Roman" w:eastAsia="仿宋" w:cs="Times New Roman"/>
          <w:b/>
          <w:bCs/>
          <w:sz w:val="22"/>
          <w:szCs w:val="24"/>
        </w:rPr>
        <w:t>Digital Industry</w:t>
      </w:r>
      <w:bookmarkEnd w:id="136"/>
    </w:p>
    <w:p w14:paraId="0440D8AE">
      <w:pPr>
        <w:keepNext/>
        <w:snapToGrid w:val="0"/>
        <w:spacing w:line="360" w:lineRule="exact"/>
        <w:ind w:firstLine="442" w:firstLineChars="200"/>
        <w:outlineLvl w:val="2"/>
        <w:rPr>
          <w:rFonts w:ascii="Times New Roman" w:hAnsi="Times New Roman" w:eastAsia="黑体" w:cs="Times New Roman"/>
          <w:b/>
          <w:sz w:val="22"/>
        </w:rPr>
      </w:pPr>
      <w:bookmarkStart w:id="137" w:name="_Toc163910340"/>
      <w:r>
        <w:rPr>
          <w:rFonts w:ascii="Times New Roman" w:hAnsi="Times New Roman" w:eastAsia="黑体" w:cs="Times New Roman"/>
          <w:b/>
          <w:sz w:val="22"/>
        </w:rPr>
        <w:t>(1) Development Status</w:t>
      </w:r>
      <w:bookmarkEnd w:id="137"/>
    </w:p>
    <w:p w14:paraId="4448FB28">
      <w:pPr>
        <w:snapToGrid w:val="0"/>
        <w:spacing w:line="360" w:lineRule="exact"/>
        <w:ind w:firstLine="440" w:firstLineChars="200"/>
        <w:rPr>
          <w:rFonts w:hint="eastAsia" w:ascii="Times New Roman" w:hAnsi="Times New Roman" w:eastAsia="仿宋" w:cs="Times New Roman"/>
          <w:sz w:val="22"/>
        </w:rPr>
      </w:pPr>
      <w:r>
        <w:rPr>
          <w:rFonts w:hint="eastAsia" w:ascii="Times New Roman" w:hAnsi="Times New Roman" w:eastAsia="仿宋" w:cs="Times New Roman"/>
          <w:sz w:val="22"/>
        </w:rPr>
        <w:t>The industry achieved a revenue of 693 billion yuan in 2024, representing a growth of 10.3%. Hunan is the birthplace of China's supercomputing technology, having produced the country's first supercomputer, "Yinhe-I" (Galaxy-I). The "Tianhe-2" supercomputer ranked first in the global TOP500 list for six consecutive rounds. Changsha is the only city in China that has achieved fully independent domestic design for all types of core chips. The new generation of independent and secure computing systems industry has been recognized as the only national-level advanced manufacturing cluster in the computing field.</w:t>
      </w:r>
    </w:p>
    <w:p w14:paraId="45076F59">
      <w:pPr>
        <w:snapToGrid w:val="0"/>
        <w:spacing w:line="360" w:lineRule="exact"/>
        <w:ind w:firstLine="440" w:firstLineChars="200"/>
        <w:rPr>
          <w:rFonts w:hint="eastAsia" w:ascii="Times New Roman" w:hAnsi="Times New Roman" w:eastAsia="仿宋" w:cs="Times New Roman"/>
          <w:sz w:val="22"/>
        </w:rPr>
      </w:pPr>
      <w:r>
        <w:rPr>
          <w:rFonts w:hint="eastAsia" w:ascii="Times New Roman" w:hAnsi="Times New Roman" w:eastAsia="仿宋" w:cs="Times New Roman"/>
          <w:sz w:val="22"/>
        </w:rPr>
        <w:t>The province demonstrates outstanding research capabilities, having established the first batch of 10 computing industry ecological innovation centers, an independent and secure computing advanced manufacturing innovation center, and the national Xinchuang open-source ecosystem algorithm center. It has undertaken 22 national key projects and implemented 70 provincial-level technological initiatives.</w:t>
      </w:r>
    </w:p>
    <w:p w14:paraId="5E5772DA">
      <w:pPr>
        <w:snapToGrid w:val="0"/>
        <w:spacing w:beforeLines="50"/>
        <w:rPr>
          <w:rFonts w:ascii="Times New Roman" w:hAnsi="Times New Roman" w:eastAsia="仿宋" w:cs="Times New Roman"/>
          <w:sz w:val="20"/>
          <w:szCs w:val="21"/>
        </w:rPr>
      </w:pPr>
      <w:r>
        <w:drawing>
          <wp:inline distT="0" distB="0" distL="0" distR="0">
            <wp:extent cx="4098290" cy="249745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4102517" cy="2499972"/>
                    </a:xfrm>
                    <a:prstGeom prst="rect">
                      <a:avLst/>
                    </a:prstGeom>
                    <a:noFill/>
                    <a:ln>
                      <a:noFill/>
                    </a:ln>
                  </pic:spPr>
                </pic:pic>
              </a:graphicData>
            </a:graphic>
          </wp:inline>
        </w:drawing>
      </w:r>
    </w:p>
    <w:p w14:paraId="0A1D7003">
      <w:pPr>
        <w:adjustRightInd w:val="0"/>
        <w:snapToGrid w:val="0"/>
        <w:spacing w:beforeLines="50" w:afterLines="20"/>
        <w:jc w:val="center"/>
        <w:rPr>
          <w:rFonts w:ascii="Times New Roman" w:hAnsi="Times New Roman" w:eastAsia="黑体" w:cs="Times New Roman"/>
          <w:sz w:val="18"/>
          <w:szCs w:val="21"/>
        </w:rPr>
      </w:pPr>
      <w:r>
        <w:rPr>
          <w:rFonts w:ascii="Times New Roman" w:hAnsi="Times New Roman" w:eastAsia="黑体" w:cs="Times New Roman"/>
          <w:sz w:val="18"/>
          <w:szCs w:val="21"/>
        </w:rPr>
        <w:t>Leading enterprises in the digital industry</w:t>
      </w:r>
    </w:p>
    <w:p w14:paraId="5BD7A896">
      <w:pPr>
        <w:snapToGrid w:val="0"/>
        <w:spacing w:line="360" w:lineRule="exact"/>
        <w:ind w:firstLine="440" w:firstLineChars="200"/>
        <w:rPr>
          <w:rFonts w:ascii="Times New Roman" w:hAnsi="Times New Roman" w:eastAsia="仿宋" w:cs="Times New Roman"/>
          <w:sz w:val="22"/>
        </w:rPr>
      </w:pPr>
      <w:r>
        <w:rPr>
          <w:rFonts w:hint="eastAsia" w:ascii="Times New Roman" w:hAnsi="Times New Roman" w:eastAsia="仿宋" w:cs="Times New Roman"/>
          <w:sz w:val="22"/>
        </w:rPr>
        <w:t>The new display industry ranks among the top in China, with general-purpose chip R&amp;D and design leading nationally. The Feiteng CPU and Kylin operating system were awarded the first prize of the National Scientific and Technological Progress Award. The "Two CPUs + One Ecosystem" (Feiteng CPU + Kunpeng CPU + Kylin OS) has become an important technological pathway for national Xinchuang and is accelerating its to the "Pengteng Ecosystem." The "Six Machines and Seven Chips" (referring to six Xinchuang machine manufacturers: China Electronics Great Wall, Xiangjiang Kunpeng, PowerLeader, Aerospace Tianyue, Xiangji Haidun, and Tongyou Feiji; and seven types of chips: Feiteng CPU, Jingjia Micro GPU, Guoke Micro SSD, Guliang Micro DSP, Nanfei Micro network switching, Beidou navigation, and third-generation semiconductor silicon carbide) leads the domestic market in terms of market share nationwide.</w:t>
      </w:r>
    </w:p>
    <w:p w14:paraId="632F6C9D">
      <w:pPr>
        <w:snapToGrid w:val="0"/>
        <w:spacing w:line="360" w:lineRule="exact"/>
        <w:ind w:firstLine="442" w:firstLineChars="200"/>
        <w:outlineLvl w:val="2"/>
        <w:rPr>
          <w:rFonts w:ascii="Times New Roman" w:hAnsi="Times New Roman" w:eastAsia="黑体" w:cs="Times New Roman"/>
          <w:b/>
          <w:sz w:val="22"/>
        </w:rPr>
      </w:pPr>
      <w:bookmarkStart w:id="138" w:name="_Toc163910341"/>
      <w:r>
        <w:rPr>
          <w:rFonts w:ascii="Times New Roman" w:hAnsi="Times New Roman" w:eastAsia="黑体" w:cs="Times New Roman"/>
          <w:b/>
          <w:sz w:val="22"/>
        </w:rPr>
        <w:t>(2) Development Target</w:t>
      </w:r>
      <w:bookmarkEnd w:id="138"/>
    </w:p>
    <w:p w14:paraId="730805B4">
      <w:pPr>
        <w:snapToGrid w:val="0"/>
        <w:spacing w:line="36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Hunan aims to achieve a main business revenue of over one trillion yuan in the electronic information manufacturing industry by 2027. We aim to set up 1-2 industrial bases with a scale of hundreds of billion yuan and five electronic information bases with a scale of around 50 billion yuan. With efforts to build a nationally recognized electronic information industry cluster with leading next-generation information technology and a state-level advanced computing industry cluster, we are committed to building Hunan into a nationally renowned hub for power semiconductor industry and new display materials industry.</w:t>
      </w:r>
    </w:p>
    <w:p w14:paraId="04FF9821">
      <w:pPr>
        <w:keepNext/>
        <w:snapToGrid w:val="0"/>
        <w:spacing w:line="360" w:lineRule="exact"/>
        <w:ind w:firstLine="442" w:firstLineChars="200"/>
        <w:outlineLvl w:val="2"/>
        <w:rPr>
          <w:rFonts w:ascii="Times New Roman" w:hAnsi="Times New Roman" w:eastAsia="黑体" w:cs="Times New Roman"/>
          <w:b/>
          <w:sz w:val="22"/>
        </w:rPr>
      </w:pPr>
      <w:bookmarkStart w:id="139" w:name="_Toc128041760"/>
      <w:bookmarkStart w:id="140" w:name="_Toc130837973"/>
      <w:bookmarkStart w:id="141" w:name="_Toc128033728"/>
      <w:bookmarkStart w:id="142" w:name="_Toc129701378"/>
      <w:bookmarkStart w:id="143" w:name="_Toc26110"/>
      <w:bookmarkStart w:id="144" w:name="_Toc129010584"/>
      <w:bookmarkStart w:id="145" w:name="_Toc130669161"/>
      <w:bookmarkStart w:id="146" w:name="_Toc130837076"/>
      <w:bookmarkStart w:id="147" w:name="_Toc131156292"/>
      <w:bookmarkStart w:id="148" w:name="_Toc163910342"/>
      <w:r>
        <w:rPr>
          <w:rFonts w:ascii="Times New Roman" w:hAnsi="Times New Roman" w:eastAsia="黑体" w:cs="Times New Roman"/>
          <w:b/>
          <w:sz w:val="22"/>
        </w:rPr>
        <w:t>(3) Polic</w:t>
      </w:r>
      <w:bookmarkEnd w:id="139"/>
      <w:bookmarkEnd w:id="140"/>
      <w:bookmarkEnd w:id="141"/>
      <w:bookmarkEnd w:id="142"/>
      <w:bookmarkEnd w:id="143"/>
      <w:bookmarkEnd w:id="144"/>
      <w:bookmarkEnd w:id="145"/>
      <w:bookmarkEnd w:id="146"/>
      <w:bookmarkEnd w:id="147"/>
      <w:r>
        <w:rPr>
          <w:rFonts w:ascii="Times New Roman" w:hAnsi="Times New Roman" w:eastAsia="黑体" w:cs="Times New Roman"/>
          <w:b/>
          <w:sz w:val="22"/>
        </w:rPr>
        <w:t>y Support</w:t>
      </w:r>
      <w:bookmarkEnd w:id="148"/>
    </w:p>
    <w:p w14:paraId="7B24123A">
      <w:pPr>
        <w:pStyle w:val="85"/>
        <w:numPr>
          <w:ilvl w:val="0"/>
          <w:numId w:val="3"/>
        </w:numPr>
        <w:ind w:left="426" w:hanging="142" w:firstLineChars="0"/>
        <w:rPr>
          <w:i/>
          <w:iCs/>
        </w:rPr>
      </w:pPr>
      <w:r>
        <w:rPr>
          <w:i/>
          <w:iCs/>
        </w:rPr>
        <w:t>Opinions on Promoting the High-Quality Development of the Mobile Internet Industry to Boost the Digital Industry by the General Office of Hunan Provincial People's Government</w:t>
      </w:r>
    </w:p>
    <w:p w14:paraId="5CB71BC9">
      <w:pPr>
        <w:rPr>
          <w:i/>
          <w:iCs/>
        </w:rPr>
      </w:pPr>
      <w:r>
        <w:rPr>
          <w:iCs/>
        </w:rPr>
        <mc:AlternateContent>
          <mc:Choice Requires="wps">
            <w:drawing>
              <wp:anchor distT="0" distB="0" distL="114300" distR="114300" simplePos="0" relativeHeight="251671552" behindDoc="0" locked="0" layoutInCell="1" allowOverlap="1">
                <wp:simplePos x="0" y="0"/>
                <wp:positionH relativeFrom="column">
                  <wp:posOffset>187960</wp:posOffset>
                </wp:positionH>
                <wp:positionV relativeFrom="paragraph">
                  <wp:posOffset>112395</wp:posOffset>
                </wp:positionV>
                <wp:extent cx="3794125" cy="1050925"/>
                <wp:effectExtent l="6350" t="73660" r="9525" b="18415"/>
                <wp:wrapNone/>
                <wp:docPr id="33" name="矩形标注 42"/>
                <wp:cNvGraphicFramePr/>
                <a:graphic xmlns:a="http://schemas.openxmlformats.org/drawingml/2006/main">
                  <a:graphicData uri="http://schemas.microsoft.com/office/word/2010/wordprocessingShape">
                    <wps:wsp>
                      <wps:cNvSpPr/>
                      <wps:spPr>
                        <a:xfrm>
                          <a:off x="0" y="0"/>
                          <a:ext cx="3794125" cy="1050925"/>
                        </a:xfrm>
                        <a:prstGeom prst="wedgeRectCallout">
                          <a:avLst>
                            <a:gd name="adj1" fmla="val -41856"/>
                            <a:gd name="adj2" fmla="val -56181"/>
                          </a:avLst>
                        </a:prstGeom>
                        <a:solidFill>
                          <a:srgbClr val="E2EFD9"/>
                        </a:solidFill>
                        <a:ln w="12700" cap="flat" cmpd="sng">
                          <a:solidFill>
                            <a:srgbClr val="A8D08D"/>
                          </a:solidFill>
                          <a:prstDash val="solid"/>
                          <a:miter/>
                          <a:headEnd type="none" w="med" len="med"/>
                          <a:tailEnd type="none" w="med" len="med"/>
                        </a:ln>
                      </wps:spPr>
                      <wps:txbx>
                        <w:txbxContent>
                          <w:p w14:paraId="03BE43A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31FA8B81">
                            <w:pPr>
                              <w:snapToGrid w:val="0"/>
                              <w:rPr>
                                <w:rFonts w:ascii="Times New Roman" w:hAnsi="Times New Roman" w:cs="Times New Roman"/>
                                <w:color w:val="3F3F3F" w:themeColor="text1" w:themeTint="BF"/>
                                <w:sz w:val="18"/>
                                <w:szCs w:val="18"/>
                              </w:rPr>
                            </w:pPr>
                            <w:r>
                              <w:rPr>
                                <w:rFonts w:ascii="Times New Roman" w:hAnsi="Times New Roman" w:cs="Times New Roman"/>
                                <w:color w:val="3F3F3F" w:themeColor="text1" w:themeTint="BF"/>
                                <w:sz w:val="18"/>
                                <w:szCs w:val="18"/>
                              </w:rPr>
                              <w:t>For the Fortune Global 500 companies and China’s top 100 digital enterprises with independent legal person entities in Hunan, we will provide a subsidy in the second year after the initial tax payment, up to 10% of the paid-in investment (not exceeding10 million yuan and the amount of tax paid to the local authorities in the first year. Financial support in the subsequent year will be provided based on its contribution in the previous year.</w:t>
                            </w:r>
                          </w:p>
                        </w:txbxContent>
                      </wps:txbx>
                      <wps:bodyPr anchor="ctr" anchorCtr="0" upright="1"/>
                    </wps:wsp>
                  </a:graphicData>
                </a:graphic>
              </wp:anchor>
            </w:drawing>
          </mc:Choice>
          <mc:Fallback>
            <w:pict>
              <v:shape id="矩形标注 42" o:spid="_x0000_s1026" o:spt="61" type="#_x0000_t61" style="position:absolute;left:0pt;margin-left:14.8pt;margin-top:8.85pt;height:82.75pt;width:298.75pt;z-index:251671552;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" adj="1759,-1335">
                <v:fill on="t" focussize="0,0"/>
                <v:stroke weight="1pt" color="#A8D08D" joinstyle="miter"/>
                <v:imagedata o:title=""/>
                <o:lock v:ext="edit" aspectratio="f"/>
                <v:textbox>
                  <w:txbxContent>
                    <w:p w14:paraId="03BE43A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31FA8B81">
                      <w:pPr>
                        <w:snapToGrid w:val="0"/>
                        <w:rPr>
                          <w:rFonts w:ascii="Times New Roman" w:hAnsi="Times New Roman" w:cs="Times New Roman"/>
                          <w:color w:val="3F3F3F" w:themeColor="text1" w:themeTint="BF"/>
                          <w:sz w:val="18"/>
                          <w:szCs w:val="18"/>
                        </w:rPr>
                      </w:pPr>
                      <w:r>
                        <w:rPr>
                          <w:rFonts w:ascii="Times New Roman" w:hAnsi="Times New Roman" w:cs="Times New Roman"/>
                          <w:color w:val="3F3F3F" w:themeColor="text1" w:themeTint="BF"/>
                          <w:sz w:val="18"/>
                          <w:szCs w:val="18"/>
                        </w:rPr>
                        <w:t>For the Fortune Global 500 companies and China’s top 100 digital enterprises with independent legal person entities in Hunan, we will provide a subsidy in the second year after the initial tax payment, up to 10% of the paid-in investment (not exceeding10 million yuan and the amount of tax paid to the local authorities in the first year. Financial support in the subsequent year will be provided based on its contribution in the previous year.</w:t>
                      </w:r>
                    </w:p>
                  </w:txbxContent>
                </v:textbox>
              </v:shape>
            </w:pict>
          </mc:Fallback>
        </mc:AlternateContent>
      </w:r>
    </w:p>
    <w:p w14:paraId="5DA37940">
      <w:pPr>
        <w:rPr>
          <w:i/>
          <w:iCs/>
        </w:rPr>
      </w:pPr>
    </w:p>
    <w:p w14:paraId="18170851">
      <w:pPr>
        <w:rPr>
          <w:i/>
          <w:iCs/>
        </w:rPr>
      </w:pPr>
    </w:p>
    <w:p w14:paraId="137406C2">
      <w:pPr>
        <w:rPr>
          <w:i/>
          <w:iCs/>
        </w:rPr>
      </w:pPr>
    </w:p>
    <w:p w14:paraId="0362EE23">
      <w:pPr>
        <w:rPr>
          <w:i/>
          <w:iCs/>
        </w:rPr>
      </w:pPr>
    </w:p>
    <w:p w14:paraId="6AC10883">
      <w:pPr>
        <w:numPr>
          <w:ilvl w:val="0"/>
          <w:numId w:val="5"/>
        </w:numPr>
        <w:snapToGrid w:val="0"/>
        <w:spacing w:line="360" w:lineRule="exact"/>
        <w:ind w:left="425" w:leftChars="135" w:hanging="142" w:hangingChars="71"/>
        <w:rPr>
          <w:rFonts w:ascii="Times New Roman" w:hAnsi="Times New Roman" w:eastAsia="仿宋" w:cs="Times New Roman"/>
          <w:i/>
          <w:iCs/>
          <w:sz w:val="20"/>
          <w:szCs w:val="21"/>
        </w:rPr>
      </w:pPr>
      <w:r>
        <w:rPr>
          <w:rFonts w:ascii="Times New Roman" w:hAnsi="Times New Roman" w:eastAsia="仿宋" w:cs="Times New Roman"/>
          <w:i/>
          <w:iCs/>
          <w:sz w:val="20"/>
          <w:szCs w:val="20"/>
        </w:rPr>
        <w:t>Notice of Hunan Provincial Department of Science and Technology on Promoting the National Supercomputing Center in Changsha to Better Serve Hunan’s High-Quality Economic and Social Development</w:t>
      </w:r>
    </w:p>
    <w:p w14:paraId="25846E4B">
      <w:pPr>
        <w:numPr>
          <w:ilvl w:val="0"/>
          <w:numId w:val="5"/>
        </w:numPr>
        <w:snapToGrid w:val="0"/>
        <w:spacing w:line="360" w:lineRule="exact"/>
        <w:ind w:left="425" w:leftChars="135" w:hanging="142" w:hangingChars="71"/>
        <w:rPr>
          <w:rFonts w:ascii="Times New Roman" w:hAnsi="Times New Roman" w:eastAsia="仿宋" w:cs="Times New Roman"/>
          <w:i/>
          <w:iCs/>
          <w:sz w:val="20"/>
          <w:szCs w:val="21"/>
        </w:rPr>
      </w:pPr>
      <w:r>
        <w:rPr>
          <w:rFonts w:ascii="Times New Roman" w:hAnsi="Times New Roman" w:eastAsia="仿宋" w:cs="Times New Roman"/>
          <w:i/>
          <w:iCs/>
          <w:sz w:val="20"/>
          <w:szCs w:val="20"/>
        </w:rPr>
        <w:t>Notice of Hunan Provincial Department of Industry and Information Technology on Releasing the Guidelines for Hunan’s First Engineering Tape Out Chips and First Kit of Basic Electronic Components</w:t>
      </w:r>
    </w:p>
    <w:p w14:paraId="45E4BADD">
      <w:pPr>
        <w:numPr>
          <w:ilvl w:val="0"/>
          <w:numId w:val="5"/>
        </w:numPr>
        <w:snapToGrid w:val="0"/>
        <w:spacing w:line="360" w:lineRule="exact"/>
        <w:ind w:left="425" w:leftChars="135" w:hanging="142" w:hangingChars="71"/>
        <w:rPr>
          <w:rFonts w:ascii="Times New Roman" w:hAnsi="Times New Roman" w:eastAsia="仿宋" w:cs="Times New Roman"/>
          <w:i/>
          <w:iCs/>
          <w:sz w:val="20"/>
          <w:szCs w:val="21"/>
        </w:rPr>
      </w:pPr>
      <w:r>
        <w:rPr>
          <w:rFonts w:ascii="Times New Roman" w:hAnsi="Times New Roman" w:eastAsia="仿宋" w:cs="Times New Roman"/>
          <w:i/>
          <w:iCs/>
          <w:sz w:val="20"/>
          <w:szCs w:val="20"/>
        </w:rPr>
        <w:t>Hunan Province Digital Economy Development Plan (2021-2025)</w:t>
      </w:r>
    </w:p>
    <w:p w14:paraId="1219A38C">
      <w:pPr>
        <w:numPr>
          <w:ilvl w:val="0"/>
          <w:numId w:val="5"/>
        </w:numPr>
        <w:snapToGrid w:val="0"/>
        <w:spacing w:line="360" w:lineRule="exact"/>
        <w:ind w:left="425" w:leftChars="135" w:hanging="142" w:hangingChars="71"/>
        <w:rPr>
          <w:rFonts w:ascii="Times New Roman" w:hAnsi="Times New Roman" w:eastAsia="仿宋" w:cs="Times New Roman"/>
          <w:i/>
          <w:iCs/>
          <w:sz w:val="20"/>
          <w:szCs w:val="21"/>
        </w:rPr>
      </w:pPr>
      <w:r>
        <w:rPr>
          <w:rFonts w:ascii="Times New Roman" w:hAnsi="Times New Roman" w:eastAsia="仿宋" w:cs="Times New Roman"/>
          <w:i/>
          <w:iCs/>
          <w:sz w:val="20"/>
          <w:szCs w:val="20"/>
        </w:rPr>
        <w:t>Plan for Revitalizing Hunan Software Industry (2021-2025)</w:t>
      </w:r>
    </w:p>
    <w:p w14:paraId="4D3C89ED">
      <w:pPr>
        <w:numPr>
          <w:ilvl w:val="0"/>
          <w:numId w:val="5"/>
        </w:numPr>
        <w:snapToGrid w:val="0"/>
        <w:spacing w:line="360" w:lineRule="exact"/>
        <w:ind w:left="432" w:leftChars="135" w:hanging="149" w:hangingChars="71"/>
        <w:rPr>
          <w:rFonts w:ascii="Times New Roman" w:hAnsi="Times New Roman" w:eastAsia="仿宋" w:cs="Times New Roman"/>
          <w:i/>
          <w:iCs/>
          <w:sz w:val="20"/>
          <w:szCs w:val="21"/>
        </w:rPr>
      </w:pPr>
      <w:r>
        <w:rPr>
          <w:rFonts w:cs="仿宋_GB2312"/>
        </w:rPr>
        <mc:AlternateContent>
          <mc:Choice Requires="wps">
            <w:drawing>
              <wp:anchor distT="0" distB="0" distL="114300" distR="114300" simplePos="0" relativeHeight="251686912" behindDoc="0" locked="0" layoutInCell="1" allowOverlap="1">
                <wp:simplePos x="0" y="0"/>
                <wp:positionH relativeFrom="margin">
                  <wp:posOffset>3009900</wp:posOffset>
                </wp:positionH>
                <wp:positionV relativeFrom="margin">
                  <wp:posOffset>4481830</wp:posOffset>
                </wp:positionV>
                <wp:extent cx="956945" cy="1047750"/>
                <wp:effectExtent l="6350" t="6350" r="12065" b="12700"/>
                <wp:wrapSquare wrapText="bothSides"/>
                <wp:docPr id="48" name="文本框 22"/>
                <wp:cNvGraphicFramePr/>
                <a:graphic xmlns:a="http://schemas.openxmlformats.org/drawingml/2006/main">
                  <a:graphicData uri="http://schemas.microsoft.com/office/word/2010/wordprocessingShape">
                    <wps:wsp>
                      <wps:cNvSpPr txBox="1"/>
                      <wps:spPr>
                        <a:xfrm>
                          <a:off x="0" y="0"/>
                          <a:ext cx="956945" cy="1047750"/>
                        </a:xfrm>
                        <a:prstGeom prst="rect">
                          <a:avLst/>
                        </a:prstGeom>
                        <a:noFill/>
                        <a:ln w="12700" cap="flat" cmpd="sng">
                          <a:solidFill>
                            <a:srgbClr val="A8D08D"/>
                          </a:solidFill>
                          <a:prstDash val="solid"/>
                          <a:miter/>
                          <a:headEnd type="none" w="med" len="med"/>
                          <a:tailEnd type="none" w="med" len="med"/>
                        </a:ln>
                      </wps:spPr>
                      <wps:txbx>
                        <w:txbxContent>
                          <w:p w14:paraId="2A3D55D2">
                            <w:pPr>
                              <w:pStyle w:val="92"/>
                              <w:adjustRightInd w:val="0"/>
                            </w:pPr>
                            <w:r>
                              <w:drawing>
                                <wp:inline distT="0" distB="0" distL="0" distR="0">
                                  <wp:extent cx="765175" cy="76517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66">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65175" cy="765175"/>
                                          </a:xfrm>
                                          <a:prstGeom prst="rect">
                                            <a:avLst/>
                                          </a:prstGeom>
                                        </pic:spPr>
                                      </pic:pic>
                                    </a:graphicData>
                                  </a:graphic>
                                </wp:inline>
                              </w:drawing>
                            </w:r>
                          </w:p>
                          <w:p w14:paraId="06B8161A">
                            <w:pPr>
                              <w:pStyle w:val="92"/>
                              <w:adjustRightInd w:val="0"/>
                              <w:rPr>
                                <w:color w:val="585858" w:themeColor="text1" w:themeTint="A6"/>
                                <w:sz w:val="18"/>
                              </w:rPr>
                            </w:pPr>
                            <w:r>
                              <w:rPr>
                                <w:rFonts w:ascii="Arial" w:hAnsi="Arial" w:cs="Arial"/>
                                <w:color w:val="595959"/>
                                <w:sz w:val="13"/>
                              </w:rPr>
                              <w:t>Policy Compendium</w:t>
                            </w:r>
                          </w:p>
                          <w:p w14:paraId="1866DF35">
                            <w:pPr>
                              <w:pStyle w:val="92"/>
                              <w:adjustRightInd w:val="0"/>
                            </w:pPr>
                          </w:p>
                        </w:txbxContent>
                      </wps:txbx>
                      <wps:bodyPr upright="1"/>
                    </wps:wsp>
                  </a:graphicData>
                </a:graphic>
              </wp:anchor>
            </w:drawing>
          </mc:Choice>
          <mc:Fallback>
            <w:pict>
              <v:shape id="文本框 22" o:spid="_x0000_s1026" o:spt="202" type="#_x0000_t202" style="position:absolute;left:0pt;margin-left:237pt;margin-top:352.9pt;height:82.5pt;width:75.35pt;mso-position-horizontal-relative:margin;mso-position-vertical-relative:margin;mso-wrap-distance-bottom:0pt;mso-wrap-distance-left:9pt;mso-wrap-distance-right:9pt;mso-wrap-distance-top:0pt;z-index:2516869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">
                <v:fill on="f" focussize="0,0"/>
                <v:stroke weight="1pt" color="#A8D08D" joinstyle="miter"/>
                <v:imagedata o:title=""/>
                <o:lock v:ext="edit" aspectratio="f"/>
                <v:textbox>
                  <w:txbxContent>
                    <w:p w14:paraId="2A3D55D2">
                      <w:pPr>
                        <w:pStyle w:val="92"/>
                        <w:adjustRightInd w:val="0"/>
                      </w:pPr>
                      <w:r>
                        <w:drawing>
                          <wp:inline distT="0" distB="0" distL="0" distR="0">
                            <wp:extent cx="765175" cy="76517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66">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65175" cy="765175"/>
                                    </a:xfrm>
                                    <a:prstGeom prst="rect">
                                      <a:avLst/>
                                    </a:prstGeom>
                                  </pic:spPr>
                                </pic:pic>
                              </a:graphicData>
                            </a:graphic>
                          </wp:inline>
                        </w:drawing>
                      </w:r>
                    </w:p>
                    <w:p w14:paraId="06B8161A">
                      <w:pPr>
                        <w:pStyle w:val="92"/>
                        <w:adjustRightInd w:val="0"/>
                        <w:rPr>
                          <w:color w:val="585858" w:themeColor="text1" w:themeTint="A6"/>
                          <w:sz w:val="18"/>
                        </w:rPr>
                      </w:pPr>
                      <w:r>
                        <w:rPr>
                          <w:rFonts w:ascii="Arial" w:hAnsi="Arial" w:cs="Arial"/>
                          <w:color w:val="595959"/>
                          <w:sz w:val="13"/>
                        </w:rPr>
                        <w:t>Policy Compendium</w:t>
                      </w:r>
                    </w:p>
                    <w:p w14:paraId="1866DF35">
                      <w:pPr>
                        <w:pStyle w:val="92"/>
                        <w:adjustRightInd w:val="0"/>
                      </w:pPr>
                    </w:p>
                  </w:txbxContent>
                </v:textbox>
                <w10:wrap type="square"/>
              </v:shape>
            </w:pict>
          </mc:Fallback>
        </mc:AlternateContent>
      </w:r>
      <w:r>
        <w:rPr>
          <w:rFonts w:ascii="Times New Roman" w:hAnsi="Times New Roman" w:eastAsia="仿宋" w:cs="Times New Roman"/>
          <w:i/>
          <w:iCs/>
          <w:sz w:val="20"/>
          <w:szCs w:val="21"/>
        </w:rPr>
        <w:t>14th Five-Year Plan for the Application of Information Technology in Hunan Province</w:t>
      </w:r>
    </w:p>
    <w:p w14:paraId="233F283B">
      <w:pPr>
        <w:numPr>
          <w:ilvl w:val="0"/>
          <w:numId w:val="5"/>
        </w:numPr>
        <w:snapToGrid w:val="0"/>
        <w:spacing w:line="360" w:lineRule="exact"/>
        <w:ind w:left="425" w:leftChars="135" w:hanging="142" w:hangingChars="71"/>
        <w:rPr>
          <w:rFonts w:ascii="Times New Roman" w:hAnsi="Times New Roman" w:eastAsia="仿宋" w:cs="Times New Roman"/>
          <w:i/>
          <w:iCs/>
          <w:sz w:val="20"/>
          <w:szCs w:val="21"/>
        </w:rPr>
      </w:pPr>
      <w:r>
        <w:rPr>
          <w:rFonts w:ascii="Times New Roman" w:hAnsi="Times New Roman" w:eastAsia="仿宋" w:cs="Times New Roman"/>
          <w:i/>
          <w:iCs/>
          <w:sz w:val="20"/>
          <w:szCs w:val="20"/>
        </w:rPr>
        <w:t>14th Five-Year Plan for the Development of Electronic Information Industry in Hunan Province</w:t>
      </w:r>
    </w:p>
    <w:p w14:paraId="4DBBD3B1">
      <w:pPr>
        <w:numPr>
          <w:ilvl w:val="0"/>
          <w:numId w:val="5"/>
        </w:numPr>
        <w:snapToGrid w:val="0"/>
        <w:spacing w:line="360" w:lineRule="exact"/>
        <w:ind w:left="425" w:leftChars="135" w:hanging="142" w:hangingChars="71"/>
        <w:rPr>
          <w:rFonts w:ascii="Times New Roman" w:hAnsi="Times New Roman" w:eastAsia="仿宋" w:cs="Times New Roman"/>
          <w:i/>
          <w:iCs/>
          <w:sz w:val="20"/>
          <w:szCs w:val="21"/>
        </w:rPr>
      </w:pPr>
      <w:r>
        <w:rPr>
          <w:rFonts w:ascii="Times New Roman" w:hAnsi="Times New Roman" w:eastAsia="仿宋" w:cs="Times New Roman"/>
          <w:i/>
          <w:iCs/>
          <w:sz w:val="20"/>
          <w:szCs w:val="20"/>
        </w:rPr>
        <w:t>Hunan Province Action Plan for Empowering 10,000 Enterprises with Smart Technology (2023-2025)</w:t>
      </w:r>
    </w:p>
    <w:p w14:paraId="04EFCD2C">
      <w:pPr>
        <w:numPr>
          <w:ilvl w:val="0"/>
          <w:numId w:val="5"/>
        </w:numPr>
        <w:snapToGrid w:val="0"/>
        <w:spacing w:line="360" w:lineRule="exact"/>
        <w:ind w:left="425" w:leftChars="135" w:hanging="142" w:hangingChars="71"/>
        <w:rPr>
          <w:rFonts w:ascii="Times New Roman" w:hAnsi="Times New Roman" w:eastAsia="仿宋" w:cs="Times New Roman"/>
          <w:i/>
          <w:iCs/>
          <w:sz w:val="20"/>
          <w:szCs w:val="21"/>
        </w:rPr>
      </w:pPr>
      <w:r>
        <w:rPr>
          <w:rFonts w:ascii="Times New Roman" w:hAnsi="Times New Roman" w:eastAsia="仿宋" w:cs="Times New Roman"/>
          <w:i/>
          <w:iCs/>
          <w:sz w:val="20"/>
          <w:szCs w:val="20"/>
        </w:rPr>
        <w:t>Development Plan for Audio and Video Industry in Hunan Province (2023-2027)</w:t>
      </w:r>
    </w:p>
    <w:p w14:paraId="25A61434">
      <w:pPr>
        <w:numPr>
          <w:ilvl w:val="0"/>
          <w:numId w:val="5"/>
        </w:numPr>
        <w:snapToGrid w:val="0"/>
        <w:spacing w:line="360" w:lineRule="exact"/>
        <w:ind w:left="425" w:leftChars="135" w:hanging="142" w:hangingChars="71"/>
        <w:rPr>
          <w:rFonts w:ascii="Times New Roman" w:hAnsi="Times New Roman" w:eastAsia="仿宋" w:cs="Times New Roman"/>
          <w:i/>
          <w:iCs/>
          <w:sz w:val="20"/>
          <w:szCs w:val="21"/>
        </w:rPr>
      </w:pPr>
      <w:r>
        <w:rPr>
          <w:rFonts w:ascii="Times New Roman" w:hAnsi="Times New Roman" w:eastAsia="仿宋" w:cs="Times New Roman"/>
          <w:i/>
          <w:iCs/>
          <w:sz w:val="20"/>
          <w:szCs w:val="20"/>
        </w:rPr>
        <w:t>Administrative Measures for Accreditation of First Edition of Software Products in Hunan Province</w:t>
      </w:r>
    </w:p>
    <w:p w14:paraId="1DA92B81">
      <w:pPr>
        <w:keepNext/>
        <w:adjustRightInd w:val="0"/>
        <w:snapToGrid w:val="0"/>
        <w:spacing w:beforeLines="50" w:afterLines="50"/>
        <w:ind w:firstLine="440"/>
        <w:jc w:val="center"/>
        <w:rPr>
          <w:rFonts w:ascii="Times New Roman" w:hAnsi="Times New Roman" w:eastAsia="黑体" w:cs="Times New Roman"/>
          <w:sz w:val="18"/>
          <w:szCs w:val="21"/>
        </w:rPr>
      </w:pPr>
      <w:r>
        <w:rPr>
          <w:rFonts w:ascii="Times New Roman" w:hAnsi="Times New Roman" w:eastAsia="黑体" w:cs="Times New Roman"/>
          <w:sz w:val="18"/>
          <w:szCs w:val="18"/>
        </w:rPr>
        <w:t>Funds supporting the digital industry</w:t>
      </w:r>
    </w:p>
    <w:tbl>
      <w:tblPr>
        <w:tblStyle w:val="139"/>
        <w:tblW w:w="5000" w:type="pct"/>
        <w:tblInd w:w="0" w:type="dxa"/>
        <w:tblBorders>
          <w:top w:val="single" w:color="9BBB59" w:sz="4" w:space="0"/>
          <w:left w:val="none" w:color="auto" w:sz="0" w:space="0"/>
          <w:bottom w:val="single" w:color="9BBB59"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97"/>
        <w:gridCol w:w="1266"/>
        <w:gridCol w:w="1888"/>
        <w:gridCol w:w="545"/>
        <w:gridCol w:w="897"/>
        <w:gridCol w:w="1454"/>
      </w:tblGrid>
      <w:tr w14:paraId="5C253451">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blHeader/>
        </w:trPr>
        <w:tc>
          <w:tcPr>
            <w:tcW w:w="307" w:type="pct"/>
            <w:tcBorders>
              <w:bottom w:val="single" w:color="9BBB59" w:sz="4" w:space="0"/>
              <w:insideH w:val="single" w:sz="4" w:space="0"/>
            </w:tcBorders>
            <w:vAlign w:val="center"/>
          </w:tcPr>
          <w:p w14:paraId="1E681008">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No.</w:t>
            </w:r>
          </w:p>
        </w:tc>
        <w:tc>
          <w:tcPr>
            <w:tcW w:w="982" w:type="pct"/>
            <w:tcBorders>
              <w:bottom w:val="single" w:color="9BBB59" w:sz="4" w:space="0"/>
              <w:insideH w:val="single" w:sz="4" w:space="0"/>
            </w:tcBorders>
            <w:vAlign w:val="center"/>
          </w:tcPr>
          <w:p w14:paraId="77A0C2DB">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Fund</w:t>
            </w:r>
          </w:p>
        </w:tc>
        <w:tc>
          <w:tcPr>
            <w:tcW w:w="1464" w:type="pct"/>
            <w:tcBorders>
              <w:bottom w:val="single" w:color="9BBB59" w:sz="4" w:space="0"/>
              <w:insideH w:val="single" w:sz="4" w:space="0"/>
            </w:tcBorders>
            <w:vAlign w:val="center"/>
          </w:tcPr>
          <w:p w14:paraId="26EE0F0B">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Sector</w:t>
            </w:r>
          </w:p>
        </w:tc>
        <w:tc>
          <w:tcPr>
            <w:tcW w:w="423" w:type="pct"/>
            <w:tcBorders>
              <w:bottom w:val="single" w:color="9BBB59" w:sz="4" w:space="0"/>
              <w:insideH w:val="single" w:sz="4" w:space="0"/>
            </w:tcBorders>
            <w:vAlign w:val="center"/>
          </w:tcPr>
          <w:p w14:paraId="25704DAC">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Est. Time</w:t>
            </w:r>
          </w:p>
        </w:tc>
        <w:tc>
          <w:tcPr>
            <w:tcW w:w="696" w:type="pct"/>
            <w:tcBorders>
              <w:bottom w:val="single" w:color="9BBB59" w:sz="4" w:space="0"/>
              <w:insideH w:val="single" w:sz="4" w:space="0"/>
            </w:tcBorders>
            <w:vAlign w:val="center"/>
          </w:tcPr>
          <w:p w14:paraId="4EE34E25">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Scale</w:t>
            </w:r>
          </w:p>
          <w:p w14:paraId="772F569A">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(RMB)</w:t>
            </w:r>
          </w:p>
        </w:tc>
        <w:tc>
          <w:tcPr>
            <w:tcW w:w="1128" w:type="pct"/>
            <w:tcBorders>
              <w:bottom w:val="single" w:color="9BBB59" w:sz="4" w:space="0"/>
              <w:insideH w:val="single" w:sz="4" w:space="0"/>
            </w:tcBorders>
            <w:vAlign w:val="center"/>
          </w:tcPr>
          <w:p w14:paraId="3A158792">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Remarks</w:t>
            </w:r>
          </w:p>
        </w:tc>
      </w:tr>
      <w:tr w14:paraId="149AC0B7">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shd w:val="clear" w:color="auto" w:fill="EAF1DD"/>
            <w:vAlign w:val="center"/>
          </w:tcPr>
          <w:p w14:paraId="0554F8F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w:t>
            </w:r>
          </w:p>
        </w:tc>
        <w:tc>
          <w:tcPr>
            <w:tcW w:w="982" w:type="pct"/>
            <w:shd w:val="clear" w:color="auto" w:fill="EAF1DD"/>
            <w:vAlign w:val="center"/>
          </w:tcPr>
          <w:p w14:paraId="63D3CCC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Mobile Internet Investment Fund</w:t>
            </w:r>
          </w:p>
        </w:tc>
        <w:tc>
          <w:tcPr>
            <w:tcW w:w="1464" w:type="pct"/>
            <w:shd w:val="clear" w:color="auto" w:fill="EAF1DD"/>
            <w:vAlign w:val="center"/>
          </w:tcPr>
          <w:p w14:paraId="7DD94A6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Mobile internet industry</w:t>
            </w:r>
          </w:p>
        </w:tc>
        <w:tc>
          <w:tcPr>
            <w:tcW w:w="423" w:type="pct"/>
            <w:shd w:val="clear" w:color="auto" w:fill="EAF1DD"/>
            <w:vAlign w:val="center"/>
          </w:tcPr>
          <w:p w14:paraId="3908F59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2015</w:t>
            </w:r>
          </w:p>
        </w:tc>
        <w:tc>
          <w:tcPr>
            <w:tcW w:w="696" w:type="pct"/>
            <w:shd w:val="clear" w:color="auto" w:fill="EAF1DD"/>
            <w:vAlign w:val="center"/>
          </w:tcPr>
          <w:p w14:paraId="0F174425">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w:t>
            </w:r>
          </w:p>
        </w:tc>
        <w:tc>
          <w:tcPr>
            <w:tcW w:w="1128" w:type="pct"/>
            <w:shd w:val="clear" w:color="auto" w:fill="EAF1DD"/>
            <w:vAlign w:val="center"/>
          </w:tcPr>
          <w:p w14:paraId="459F1752">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Jointly established by Hunan Hi-tech Venture Capital Investment Group and Changsha Municipal People’s Government</w:t>
            </w:r>
          </w:p>
        </w:tc>
      </w:tr>
      <w:tr w14:paraId="28F4A5D8">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vAlign w:val="center"/>
          </w:tcPr>
          <w:p w14:paraId="791F757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w:t>
            </w:r>
          </w:p>
        </w:tc>
        <w:tc>
          <w:tcPr>
            <w:tcW w:w="982" w:type="pct"/>
            <w:vAlign w:val="center"/>
          </w:tcPr>
          <w:p w14:paraId="6AFCD7B3">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Guowei Integrated Circuit Venture Capital Fund</w:t>
            </w:r>
          </w:p>
        </w:tc>
        <w:tc>
          <w:tcPr>
            <w:tcW w:w="1464" w:type="pct"/>
            <w:vAlign w:val="center"/>
          </w:tcPr>
          <w:p w14:paraId="017987FA">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Digital industries.</w:t>
            </w:r>
          </w:p>
        </w:tc>
        <w:tc>
          <w:tcPr>
            <w:tcW w:w="423" w:type="pct"/>
            <w:vAlign w:val="center"/>
          </w:tcPr>
          <w:p w14:paraId="07A57C0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2015</w:t>
            </w:r>
          </w:p>
        </w:tc>
        <w:tc>
          <w:tcPr>
            <w:tcW w:w="696" w:type="pct"/>
            <w:vAlign w:val="center"/>
          </w:tcPr>
          <w:p w14:paraId="7C0BB989">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5 billion expected;</w:t>
            </w:r>
          </w:p>
          <w:p w14:paraId="43A94F6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Phase I:</w:t>
            </w:r>
          </w:p>
          <w:p w14:paraId="522D6CB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250 million</w:t>
            </w:r>
          </w:p>
        </w:tc>
        <w:tc>
          <w:tcPr>
            <w:tcW w:w="1128" w:type="pct"/>
            <w:vAlign w:val="center"/>
          </w:tcPr>
          <w:p w14:paraId="6C7F2085">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Jointly established by Jinshan Huarong (Tianjin) Industrial Investment Fund Partnership and Hunan Hi-Tech Venture Capital Group</w:t>
            </w:r>
          </w:p>
        </w:tc>
      </w:tr>
      <w:tr w14:paraId="6D024EAB">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shd w:val="clear" w:color="auto" w:fill="EAF1DD"/>
            <w:vAlign w:val="center"/>
          </w:tcPr>
          <w:p w14:paraId="7FC52D82">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3</w:t>
            </w:r>
          </w:p>
        </w:tc>
        <w:tc>
          <w:tcPr>
            <w:tcW w:w="982" w:type="pct"/>
            <w:shd w:val="clear" w:color="auto" w:fill="EAF1DD"/>
            <w:vAlign w:val="center"/>
          </w:tcPr>
          <w:p w14:paraId="2808509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Emerging Industry Stock Investment Guidance Fund</w:t>
            </w:r>
          </w:p>
        </w:tc>
        <w:tc>
          <w:tcPr>
            <w:tcW w:w="1464" w:type="pct"/>
            <w:shd w:val="clear" w:color="auto" w:fill="EAF1DD"/>
            <w:vAlign w:val="center"/>
          </w:tcPr>
          <w:p w14:paraId="2C12508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Focus on information industry and cultural creativity (information security, AR, VR, etc.)</w:t>
            </w:r>
          </w:p>
        </w:tc>
        <w:tc>
          <w:tcPr>
            <w:tcW w:w="423" w:type="pct"/>
            <w:shd w:val="clear" w:color="auto" w:fill="EAF1DD"/>
            <w:vAlign w:val="center"/>
          </w:tcPr>
          <w:p w14:paraId="07B53ED5">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2018</w:t>
            </w:r>
          </w:p>
        </w:tc>
        <w:tc>
          <w:tcPr>
            <w:tcW w:w="696" w:type="pct"/>
            <w:shd w:val="clear" w:color="auto" w:fill="EAF1DD"/>
            <w:vAlign w:val="center"/>
          </w:tcPr>
          <w:p w14:paraId="6F8C5B41">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35 billion +;</w:t>
            </w:r>
          </w:p>
          <w:p w14:paraId="28C0B275">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Phase I: 10 billion.</w:t>
            </w:r>
          </w:p>
        </w:tc>
        <w:tc>
          <w:tcPr>
            <w:tcW w:w="1128" w:type="pct"/>
            <w:shd w:val="clear" w:color="auto" w:fill="EAF1DD"/>
            <w:vAlign w:val="center"/>
          </w:tcPr>
          <w:p w14:paraId="4416C925">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Managed by Hunan Chasing Fund Management. Eight sub-funds have been established</w:t>
            </w:r>
          </w:p>
        </w:tc>
      </w:tr>
      <w:tr w14:paraId="27AB9803">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vAlign w:val="center"/>
          </w:tcPr>
          <w:p w14:paraId="13741D79">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4</w:t>
            </w:r>
          </w:p>
        </w:tc>
        <w:tc>
          <w:tcPr>
            <w:tcW w:w="982" w:type="pct"/>
            <w:vAlign w:val="center"/>
          </w:tcPr>
          <w:p w14:paraId="25147FF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Changsha Industrial Development Fund of Funds (FOF)</w:t>
            </w:r>
          </w:p>
        </w:tc>
        <w:tc>
          <w:tcPr>
            <w:tcW w:w="1464" w:type="pct"/>
            <w:vAlign w:val="center"/>
          </w:tcPr>
          <w:p w14:paraId="32D05715">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Safe and reliable computers and its innovative applications, next-generation semiconductors, consumer electronics, display functional device industry chain, 5G application industry chain, etc.</w:t>
            </w:r>
          </w:p>
        </w:tc>
        <w:tc>
          <w:tcPr>
            <w:tcW w:w="423" w:type="pct"/>
            <w:vAlign w:val="center"/>
          </w:tcPr>
          <w:p w14:paraId="2510640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2023</w:t>
            </w:r>
          </w:p>
        </w:tc>
        <w:tc>
          <w:tcPr>
            <w:tcW w:w="696" w:type="pct"/>
            <w:vAlign w:val="center"/>
          </w:tcPr>
          <w:p w14:paraId="5761C4A1">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30 billion</w:t>
            </w:r>
          </w:p>
        </w:tc>
        <w:tc>
          <w:tcPr>
            <w:tcW w:w="1128" w:type="pct"/>
            <w:vAlign w:val="center"/>
          </w:tcPr>
          <w:p w14:paraId="5700B79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Established under the leadership of Changsha Investment Holding Group</w:t>
            </w:r>
          </w:p>
        </w:tc>
      </w:tr>
      <w:tr w14:paraId="2881D434">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shd w:val="clear" w:color="auto" w:fill="EAF1DD"/>
            <w:vAlign w:val="center"/>
          </w:tcPr>
          <w:p w14:paraId="7180B28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5</w:t>
            </w:r>
          </w:p>
        </w:tc>
        <w:tc>
          <w:tcPr>
            <w:tcW w:w="982" w:type="pct"/>
            <w:shd w:val="clear" w:color="auto" w:fill="EAF1DD"/>
            <w:vAlign w:val="center"/>
          </w:tcPr>
          <w:p w14:paraId="5730916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Zhuzhou Advanced Industrial Cluster Development Fund of Funds (FOF)</w:t>
            </w:r>
          </w:p>
        </w:tc>
        <w:tc>
          <w:tcPr>
            <w:tcW w:w="1464" w:type="pct"/>
            <w:shd w:val="clear" w:color="auto" w:fill="EAF1DD"/>
            <w:vAlign w:val="center"/>
          </w:tcPr>
          <w:p w14:paraId="47C46CBB">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13 iconic industrial chains including information technology and BDS applications</w:t>
            </w:r>
          </w:p>
        </w:tc>
        <w:tc>
          <w:tcPr>
            <w:tcW w:w="423" w:type="pct"/>
            <w:shd w:val="clear" w:color="auto" w:fill="EAF1DD"/>
            <w:vAlign w:val="center"/>
          </w:tcPr>
          <w:p w14:paraId="4E1442C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2022</w:t>
            </w:r>
          </w:p>
        </w:tc>
        <w:tc>
          <w:tcPr>
            <w:tcW w:w="696" w:type="pct"/>
            <w:shd w:val="clear" w:color="auto" w:fill="EAF1DD"/>
            <w:vAlign w:val="center"/>
          </w:tcPr>
          <w:p w14:paraId="4DB0CAA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Phase I:</w:t>
            </w:r>
          </w:p>
          <w:p w14:paraId="588BF56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5 billion</w:t>
            </w:r>
          </w:p>
        </w:tc>
        <w:tc>
          <w:tcPr>
            <w:tcW w:w="1128" w:type="pct"/>
            <w:shd w:val="clear" w:color="auto" w:fill="EAF1DD"/>
            <w:vAlign w:val="center"/>
          </w:tcPr>
          <w:p w14:paraId="0BAEFF8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Led by Zhuzhou Municipal People’s Government, and jointly initiated by Hunan Chasing Financial Holdings</w:t>
            </w:r>
            <w:r>
              <w:rPr>
                <w:rFonts w:ascii="Times New Roman" w:hAnsi="Times New Roman" w:eastAsia="楷体" w:cs="Times New Roman"/>
                <w:i/>
                <w:iCs/>
                <w:color w:val="auto"/>
                <w:kern w:val="0"/>
                <w:sz w:val="18"/>
                <w:szCs w:val="18"/>
              </w:rPr>
              <w:t xml:space="preserve"> </w:t>
            </w:r>
            <w:r>
              <w:rPr>
                <w:rFonts w:ascii="Times New Roman" w:hAnsi="Times New Roman" w:eastAsia="楷体" w:cs="Times New Roman"/>
                <w:color w:val="auto"/>
                <w:kern w:val="0"/>
                <w:sz w:val="18"/>
                <w:szCs w:val="18"/>
              </w:rPr>
              <w:t>and Zhuzhou state-owned enterprises</w:t>
            </w:r>
          </w:p>
        </w:tc>
      </w:tr>
      <w:tr w14:paraId="1B545289">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vAlign w:val="center"/>
          </w:tcPr>
          <w:p w14:paraId="662C3F72">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6</w:t>
            </w:r>
          </w:p>
        </w:tc>
        <w:tc>
          <w:tcPr>
            <w:tcW w:w="982" w:type="pct"/>
            <w:vAlign w:val="center"/>
          </w:tcPr>
          <w:p w14:paraId="1B6E6E0F">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Xiangtan Industrial Quality Development Guidance Fund</w:t>
            </w:r>
          </w:p>
        </w:tc>
        <w:tc>
          <w:tcPr>
            <w:tcW w:w="1464" w:type="pct"/>
            <w:vAlign w:val="center"/>
          </w:tcPr>
          <w:p w14:paraId="6B24C223">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Next-generation information technology, etc.</w:t>
            </w:r>
          </w:p>
        </w:tc>
        <w:tc>
          <w:tcPr>
            <w:tcW w:w="423" w:type="pct"/>
            <w:vAlign w:val="center"/>
          </w:tcPr>
          <w:p w14:paraId="39E4A1C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2018</w:t>
            </w:r>
          </w:p>
        </w:tc>
        <w:tc>
          <w:tcPr>
            <w:tcW w:w="696" w:type="pct"/>
            <w:vAlign w:val="center"/>
          </w:tcPr>
          <w:p w14:paraId="5799EF9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 billion yuan; Phase I: 400 million.</w:t>
            </w:r>
          </w:p>
        </w:tc>
        <w:tc>
          <w:tcPr>
            <w:tcW w:w="1128" w:type="pct"/>
            <w:vAlign w:val="center"/>
          </w:tcPr>
          <w:p w14:paraId="40E3D2A1">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Jointly established by Xiangtan Municipal Finance</w:t>
            </w:r>
            <w:r>
              <w:rPr>
                <w:rFonts w:ascii="Times New Roman" w:hAnsi="Times New Roman" w:eastAsia="仿宋" w:cs="Times New Roman"/>
                <w:color w:val="auto"/>
                <w:kern w:val="0"/>
                <w:sz w:val="18"/>
                <w:szCs w:val="18"/>
              </w:rPr>
              <w:t xml:space="preserve"> </w:t>
            </w:r>
            <w:r>
              <w:rPr>
                <w:rFonts w:ascii="Times New Roman" w:hAnsi="Times New Roman" w:eastAsia="楷体" w:cs="Times New Roman"/>
                <w:color w:val="auto"/>
                <w:kern w:val="0"/>
                <w:sz w:val="18"/>
                <w:szCs w:val="18"/>
              </w:rPr>
              <w:t>Bureau, Xiangtan Municipal Industry Group and relevant parks</w:t>
            </w:r>
          </w:p>
        </w:tc>
      </w:tr>
      <w:tr w14:paraId="46ED5AE7">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shd w:val="clear" w:color="auto" w:fill="EAF1DD"/>
            <w:vAlign w:val="center"/>
          </w:tcPr>
          <w:p w14:paraId="2C578C4B">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7</w:t>
            </w:r>
          </w:p>
        </w:tc>
        <w:tc>
          <w:tcPr>
            <w:tcW w:w="982" w:type="pct"/>
            <w:shd w:val="clear" w:color="auto" w:fill="EAF1DD"/>
            <w:vAlign w:val="center"/>
          </w:tcPr>
          <w:p w14:paraId="09F2FF0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Hengyang Industrial Investment Fund</w:t>
            </w:r>
          </w:p>
        </w:tc>
        <w:tc>
          <w:tcPr>
            <w:tcW w:w="1464" w:type="pct"/>
            <w:shd w:val="clear" w:color="auto" w:fill="EAF1DD"/>
            <w:vAlign w:val="center"/>
          </w:tcPr>
          <w:p w14:paraId="535E395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Next-generation information technology industry, electronic information, etc.</w:t>
            </w:r>
          </w:p>
        </w:tc>
        <w:tc>
          <w:tcPr>
            <w:tcW w:w="423" w:type="pct"/>
            <w:shd w:val="clear" w:color="auto" w:fill="EAF1DD"/>
            <w:vAlign w:val="center"/>
          </w:tcPr>
          <w:p w14:paraId="0206CB5F">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2018</w:t>
            </w:r>
          </w:p>
        </w:tc>
        <w:tc>
          <w:tcPr>
            <w:tcW w:w="696" w:type="pct"/>
            <w:shd w:val="clear" w:color="auto" w:fill="EAF1DD"/>
            <w:vAlign w:val="center"/>
          </w:tcPr>
          <w:p w14:paraId="1DB414D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6 billion +</w:t>
            </w:r>
          </w:p>
        </w:tc>
        <w:tc>
          <w:tcPr>
            <w:tcW w:w="1128" w:type="pct"/>
            <w:shd w:val="clear" w:color="auto" w:fill="EAF1DD"/>
            <w:vAlign w:val="center"/>
          </w:tcPr>
          <w:p w14:paraId="37CEC8E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The Government has contributed 1.5 billion yuan as the industrial guiding fund to leverage private capital to set up sub-funds</w:t>
            </w:r>
          </w:p>
        </w:tc>
      </w:tr>
      <w:tr w14:paraId="2D595717">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vAlign w:val="center"/>
          </w:tcPr>
          <w:p w14:paraId="24F21AE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8</w:t>
            </w:r>
          </w:p>
        </w:tc>
        <w:tc>
          <w:tcPr>
            <w:tcW w:w="982" w:type="pct"/>
            <w:vAlign w:val="center"/>
          </w:tcPr>
          <w:p w14:paraId="3ADCCB65">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Xiangjiang Shengshi Stock Investment Fund</w:t>
            </w:r>
          </w:p>
        </w:tc>
        <w:tc>
          <w:tcPr>
            <w:tcW w:w="1464" w:type="pct"/>
            <w:vAlign w:val="center"/>
          </w:tcPr>
          <w:p w14:paraId="00383F0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“10 + 6” industry chain and “three intelligent and one chip” industries (Intelligent Equipment, Intelligent Terminals, Intelligent Networked Vehicles and Power Chips) including mobile Internet industry, and the next-generation information technology</w:t>
            </w:r>
          </w:p>
        </w:tc>
        <w:tc>
          <w:tcPr>
            <w:tcW w:w="423" w:type="pct"/>
            <w:vAlign w:val="center"/>
          </w:tcPr>
          <w:p w14:paraId="5556FC5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2017</w:t>
            </w:r>
          </w:p>
        </w:tc>
        <w:tc>
          <w:tcPr>
            <w:tcW w:w="696" w:type="pct"/>
            <w:vAlign w:val="center"/>
          </w:tcPr>
          <w:p w14:paraId="416AF639">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 billion</w:t>
            </w:r>
          </w:p>
        </w:tc>
        <w:tc>
          <w:tcPr>
            <w:tcW w:w="1128" w:type="pct"/>
            <w:vAlign w:val="center"/>
          </w:tcPr>
          <w:p w14:paraId="227933A3">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Initiated by Hunan Xiangjiang New Area</w:t>
            </w:r>
          </w:p>
        </w:tc>
      </w:tr>
      <w:tr w14:paraId="396F95F8">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shd w:val="clear" w:color="auto" w:fill="EAF1DD"/>
            <w:vAlign w:val="center"/>
          </w:tcPr>
          <w:p w14:paraId="2C9C1D2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9</w:t>
            </w:r>
          </w:p>
        </w:tc>
        <w:tc>
          <w:tcPr>
            <w:tcW w:w="982" w:type="pct"/>
            <w:shd w:val="clear" w:color="auto" w:fill="EAF1DD"/>
            <w:vAlign w:val="center"/>
          </w:tcPr>
          <w:p w14:paraId="5A90326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Wangcheng ETDZ Zhenwang Industrial Development Fund</w:t>
            </w:r>
          </w:p>
        </w:tc>
        <w:tc>
          <w:tcPr>
            <w:tcW w:w="1464" w:type="pct"/>
            <w:shd w:val="clear" w:color="auto" w:fill="EAF1DD"/>
            <w:vAlign w:val="center"/>
          </w:tcPr>
          <w:p w14:paraId="6BBAD05B">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Electronic information with a focus on intelligent terminals</w:t>
            </w:r>
          </w:p>
        </w:tc>
        <w:tc>
          <w:tcPr>
            <w:tcW w:w="423" w:type="pct"/>
            <w:shd w:val="clear" w:color="auto" w:fill="EAF1DD"/>
            <w:vAlign w:val="center"/>
          </w:tcPr>
          <w:p w14:paraId="7C61A20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2021</w:t>
            </w:r>
          </w:p>
        </w:tc>
        <w:tc>
          <w:tcPr>
            <w:tcW w:w="696" w:type="pct"/>
            <w:shd w:val="clear" w:color="auto" w:fill="EAF1DD"/>
            <w:vAlign w:val="center"/>
          </w:tcPr>
          <w:p w14:paraId="169C06C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 billion</w:t>
            </w:r>
          </w:p>
        </w:tc>
        <w:tc>
          <w:tcPr>
            <w:tcW w:w="1128" w:type="pct"/>
            <w:shd w:val="clear" w:color="auto" w:fill="EAF1DD"/>
            <w:vAlign w:val="center"/>
          </w:tcPr>
          <w:p w14:paraId="0AC026DF">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Jointly Established by Wangcheng District People’s Government, Wangcheng ETDZ and Hunan Hi-tech Investment Group</w:t>
            </w:r>
          </w:p>
        </w:tc>
      </w:tr>
    </w:tbl>
    <w:p w14:paraId="35DEE0FA">
      <w:pPr>
        <w:snapToGrid w:val="0"/>
        <w:spacing w:line="360" w:lineRule="exact"/>
        <w:rPr>
          <w:rFonts w:ascii="Times New Roman" w:hAnsi="Times New Roman" w:eastAsia="仿宋" w:cs="Times New Roman"/>
          <w:sz w:val="20"/>
          <w:szCs w:val="20"/>
        </w:rPr>
      </w:pPr>
    </w:p>
    <w:p w14:paraId="36A4F81D">
      <w:pPr>
        <w:keepNext/>
        <w:snapToGrid w:val="0"/>
        <w:spacing w:line="360" w:lineRule="exact"/>
        <w:ind w:firstLine="442" w:firstLineChars="200"/>
        <w:outlineLvl w:val="2"/>
        <w:rPr>
          <w:rFonts w:ascii="Times New Roman" w:hAnsi="Times New Roman" w:eastAsia="黑体" w:cs="Times New Roman"/>
          <w:b/>
          <w:sz w:val="22"/>
        </w:rPr>
      </w:pPr>
      <w:bookmarkStart w:id="149" w:name="_Toc163910343"/>
      <w:r>
        <w:rPr>
          <w:rFonts w:ascii="Times New Roman" w:hAnsi="Times New Roman" w:eastAsia="黑体" w:cs="Times New Roman"/>
          <w:b/>
          <w:sz w:val="22"/>
        </w:rPr>
        <w:t xml:space="preserve">(4) Investment </w:t>
      </w:r>
      <w:r>
        <w:rPr>
          <w:rFonts w:ascii="Times New Roman" w:hAnsi="Times New Roman" w:eastAsia="黑体" w:cs="Times New Roman"/>
          <w:b/>
          <w:sz w:val="22"/>
          <w:szCs w:val="24"/>
        </w:rPr>
        <w:t>O</w:t>
      </w:r>
      <w:r>
        <w:rPr>
          <w:rFonts w:hint="eastAsia" w:ascii="Times New Roman" w:hAnsi="Times New Roman" w:eastAsia="黑体" w:cs="Times New Roman"/>
          <w:b/>
          <w:sz w:val="22"/>
          <w:szCs w:val="24"/>
        </w:rPr>
        <w:t>rientation</w:t>
      </w:r>
      <w:r>
        <w:rPr>
          <w:rFonts w:ascii="Times New Roman" w:hAnsi="Times New Roman" w:eastAsia="黑体" w:cs="Times New Roman"/>
          <w:b/>
          <w:sz w:val="22"/>
        </w:rPr>
        <w:t xml:space="preserve"> and Industrial Layout</w:t>
      </w:r>
      <w:bookmarkEnd w:id="149"/>
    </w:p>
    <w:p w14:paraId="2832D3FA">
      <w:pPr>
        <w:snapToGrid w:val="0"/>
        <w:spacing w:line="360" w:lineRule="exact"/>
        <w:ind w:firstLine="442" w:firstLineChars="200"/>
        <w:rPr>
          <w:rFonts w:ascii="Times New Roman" w:hAnsi="Times New Roman" w:eastAsia="仿宋" w:cs="Times New Roman"/>
          <w:sz w:val="22"/>
        </w:rPr>
      </w:pPr>
      <w:r>
        <w:rPr>
          <w:rFonts w:ascii="Times New Roman" w:hAnsi="Times New Roman" w:eastAsia="仿宋" w:cs="Times New Roman"/>
          <w:b/>
          <w:bCs/>
          <w:sz w:val="22"/>
        </w:rPr>
        <w:t>Advanced Computing</w:t>
      </w:r>
      <w:r>
        <w:rPr>
          <w:rFonts w:ascii="Times New Roman" w:hAnsi="Times New Roman" w:eastAsia="仿宋" w:cs="Times New Roman"/>
          <w:sz w:val="22"/>
        </w:rPr>
        <w:t>. Based on Changsha-Zhuzhou-Xiangtan City Clusters, Chenzhou Dongjiang Lake Base, and other cities and regions, we aim to establish a national-level advanced computing industry cluster by introducing enterprises engaging in the data center, intelligent computing center, and computing power scheduling platform. Based on Xiangjiang New Area, Zhuzhou ETDZ, Hengyang HTZ, etc., we aim to bolster Changsha’s reputation as a software hub with nationally renowned software parks by introducing hi-tech enterprises developing the next-generation operating systems, databases, and middleware, and enterprises engaging in the software development, information service and supporting industries including the industrial software, embedded software, platform-oriented software, and emerging information service software.</w:t>
      </w:r>
    </w:p>
    <w:p w14:paraId="12B885C6">
      <w:pPr>
        <w:snapToGrid w:val="0"/>
        <w:spacing w:line="360" w:lineRule="exact"/>
        <w:ind w:firstLine="442" w:firstLineChars="200"/>
        <w:rPr>
          <w:rFonts w:ascii="Times New Roman" w:hAnsi="Times New Roman" w:eastAsia="仿宋" w:cs="Times New Roman"/>
          <w:sz w:val="22"/>
        </w:rPr>
      </w:pPr>
      <w:r>
        <w:rPr>
          <w:rFonts w:ascii="Times New Roman" w:hAnsi="Times New Roman" w:eastAsia="仿宋" w:cs="Times New Roman"/>
          <w:b/>
          <w:bCs/>
          <w:sz w:val="22"/>
        </w:rPr>
        <w:t xml:space="preserve">Next-generation semiconductors. </w:t>
      </w:r>
      <w:r>
        <w:rPr>
          <w:rFonts w:ascii="Times New Roman" w:hAnsi="Times New Roman" w:eastAsia="仿宋" w:cs="Times New Roman"/>
          <w:sz w:val="22"/>
        </w:rPr>
        <w:t>Based on Xiangjiang New Area and Liuyang ETDZ, we aim to develop the National Semiconductor Equipment Industry Center by introducing enterprises involved in the R&amp;D, iteration, and industrialization of the triple beam system and third-generation semiconductors. Based on Xiangjiang New Area and Zhuzhou HTZ, we aim to develop power semiconductor components and chips industry by introducing enterprises engaging in the R&amp;D and industrialization of IGBT, MOSFET, and the next-generation gallium nitride and silicon carbide-based power semiconductor components and those in chip design industries such as CPU, GPU, SSD controller chips, BDS chips, and 5G chips.</w:t>
      </w:r>
    </w:p>
    <w:p w14:paraId="6EA86AFE">
      <w:pPr>
        <w:snapToGrid w:val="0"/>
        <w:spacing w:line="360" w:lineRule="exact"/>
        <w:ind w:firstLine="442" w:firstLineChars="200"/>
        <w:rPr>
          <w:rFonts w:ascii="Times New Roman" w:hAnsi="Times New Roman" w:eastAsia="仿宋" w:cs="Times New Roman"/>
          <w:sz w:val="22"/>
        </w:rPr>
      </w:pPr>
      <w:r>
        <w:rPr>
          <w:rFonts w:hint="eastAsia" w:ascii="Times New Roman" w:hAnsi="Times New Roman" w:eastAsia="仿宋" w:cs="Times New Roman"/>
          <w:b/>
          <w:bCs/>
          <w:sz w:val="22"/>
        </w:rPr>
        <w:t xml:space="preserve">New displays. </w:t>
      </w:r>
      <w:r>
        <w:rPr>
          <w:rFonts w:hint="eastAsia" w:ascii="Times New Roman" w:hAnsi="Times New Roman" w:eastAsia="仿宋" w:cs="Times New Roman"/>
          <w:sz w:val="22"/>
        </w:rPr>
        <w:t>Based on Liuyang ETDZ, Taoyuan HTZ, and Yizhang ETDZ, we aim to introduce enterprises that focus on 2.5D/3D curved glass, high-generation TFT-LCD panels, flexible AMOLED and OLED panels, optical lenses, as well as key supporting enterprises specializing in driver chips, polarizers, and special gases.</w:t>
      </w:r>
    </w:p>
    <w:p w14:paraId="44AC7B0A">
      <w:pPr>
        <w:snapToGrid w:val="0"/>
        <w:spacing w:line="360" w:lineRule="exact"/>
        <w:ind w:firstLine="440" w:firstLineChars="200"/>
        <w:rPr>
          <w:rFonts w:ascii="Times New Roman" w:hAnsi="Times New Roman" w:eastAsia="仿宋" w:cs="Times New Roman"/>
          <w:sz w:val="22"/>
        </w:rPr>
      </w:pPr>
    </w:p>
    <w:p w14:paraId="3D00522A">
      <w:pPr>
        <w:snapToGrid w:val="0"/>
        <w:spacing w:line="360" w:lineRule="exact"/>
        <w:ind w:firstLine="440" w:firstLineChars="200"/>
        <w:rPr>
          <w:rFonts w:ascii="Times New Roman" w:hAnsi="Times New Roman" w:eastAsia="仿宋" w:cs="Times New Roman"/>
          <w:sz w:val="22"/>
        </w:rPr>
      </w:pPr>
    </w:p>
    <w:p w14:paraId="60AAC71D">
      <w:pPr>
        <w:snapToGrid w:val="0"/>
        <w:spacing w:line="360" w:lineRule="exact"/>
        <w:ind w:firstLine="440" w:firstLineChars="200"/>
        <w:rPr>
          <w:rFonts w:ascii="Times New Roman" w:hAnsi="Times New Roman" w:eastAsia="仿宋" w:cs="Times New Roman"/>
          <w:sz w:val="22"/>
        </w:rPr>
      </w:pPr>
    </w:p>
    <w:p w14:paraId="2AAFD014">
      <w:pPr>
        <w:snapToGrid w:val="0"/>
        <w:spacing w:line="360" w:lineRule="exact"/>
        <w:ind w:firstLine="440" w:firstLineChars="200"/>
        <w:rPr>
          <w:rFonts w:ascii="Times New Roman" w:hAnsi="Times New Roman" w:eastAsia="仿宋" w:cs="Times New Roman"/>
          <w:sz w:val="22"/>
        </w:rPr>
      </w:pPr>
    </w:p>
    <w:p w14:paraId="571DF8B9">
      <w:pPr>
        <w:snapToGrid w:val="0"/>
        <w:spacing w:line="360" w:lineRule="exact"/>
        <w:ind w:firstLine="440" w:firstLineChars="200"/>
        <w:rPr>
          <w:rFonts w:ascii="Times New Roman" w:hAnsi="Times New Roman" w:eastAsia="仿宋" w:cs="Times New Roman"/>
          <w:sz w:val="22"/>
        </w:rPr>
      </w:pPr>
    </w:p>
    <w:p w14:paraId="3C237A5D">
      <w:pPr>
        <w:snapToGrid w:val="0"/>
        <w:spacing w:line="360" w:lineRule="exact"/>
        <w:ind w:firstLine="440" w:firstLineChars="200"/>
        <w:rPr>
          <w:rFonts w:ascii="Times New Roman" w:hAnsi="Times New Roman" w:eastAsia="仿宋" w:cs="Times New Roman"/>
          <w:sz w:val="22"/>
        </w:rPr>
      </w:pPr>
    </w:p>
    <w:p w14:paraId="226998AA">
      <w:pPr>
        <w:snapToGrid w:val="0"/>
        <w:spacing w:line="360" w:lineRule="exact"/>
        <w:ind w:firstLine="440" w:firstLineChars="200"/>
        <w:rPr>
          <w:rFonts w:ascii="Times New Roman" w:hAnsi="Times New Roman" w:eastAsia="仿宋" w:cs="Times New Roman"/>
          <w:sz w:val="22"/>
        </w:rPr>
      </w:pPr>
    </w:p>
    <w:p w14:paraId="50AEB497">
      <w:pPr>
        <w:snapToGrid w:val="0"/>
        <w:spacing w:line="360" w:lineRule="exact"/>
        <w:ind w:firstLine="440" w:firstLineChars="200"/>
        <w:rPr>
          <w:rFonts w:ascii="Times New Roman" w:hAnsi="Times New Roman" w:eastAsia="仿宋" w:cs="Times New Roman"/>
          <w:sz w:val="22"/>
        </w:rPr>
      </w:pPr>
    </w:p>
    <w:p w14:paraId="690B0503">
      <w:pPr>
        <w:snapToGrid w:val="0"/>
        <w:spacing w:line="360" w:lineRule="exact"/>
        <w:ind w:firstLine="440" w:firstLineChars="200"/>
        <w:rPr>
          <w:rFonts w:ascii="Times New Roman" w:hAnsi="Times New Roman" w:eastAsia="仿宋" w:cs="Times New Roman"/>
          <w:sz w:val="22"/>
        </w:rPr>
      </w:pPr>
    </w:p>
    <w:p w14:paraId="5EE70565">
      <w:pPr>
        <w:snapToGrid w:val="0"/>
        <w:spacing w:line="360" w:lineRule="exact"/>
        <w:ind w:firstLine="440" w:firstLineChars="200"/>
        <w:rPr>
          <w:rFonts w:ascii="Times New Roman" w:hAnsi="Times New Roman" w:eastAsia="仿宋" w:cs="Times New Roman"/>
          <w:sz w:val="22"/>
        </w:rPr>
      </w:pPr>
    </w:p>
    <w:p w14:paraId="3FC12408">
      <w:pPr>
        <w:snapToGrid w:val="0"/>
        <w:spacing w:line="360" w:lineRule="exact"/>
        <w:ind w:firstLine="440" w:firstLineChars="200"/>
        <w:rPr>
          <w:rFonts w:ascii="Times New Roman" w:hAnsi="Times New Roman" w:eastAsia="仿宋" w:cs="Times New Roman"/>
          <w:sz w:val="22"/>
        </w:rPr>
      </w:pPr>
      <w:r>
        <w:rPr>
          <w:rFonts w:hint="eastAsia" w:ascii="Times New Roman" w:hAnsi="Times New Roman" w:eastAsia="仿宋" w:cs="Times New Roman"/>
          <w:sz w:val="22"/>
        </w:rPr>
        <w:drawing>
          <wp:anchor distT="0" distB="0" distL="114300" distR="114300" simplePos="0" relativeHeight="251703296" behindDoc="0" locked="0" layoutInCell="1" allowOverlap="1">
            <wp:simplePos x="0" y="0"/>
            <wp:positionH relativeFrom="column">
              <wp:posOffset>-857250</wp:posOffset>
            </wp:positionH>
            <wp:positionV relativeFrom="paragraph">
              <wp:posOffset>133350</wp:posOffset>
            </wp:positionV>
            <wp:extent cx="5619750" cy="3529330"/>
            <wp:effectExtent l="0" t="1047750" r="0" b="1042670"/>
            <wp:wrapNone/>
            <wp:docPr id="1182733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28" name="图片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rot="16200000">
                      <a:off x="0" y="0"/>
                      <a:ext cx="5619750" cy="3529330"/>
                    </a:xfrm>
                    <a:prstGeom prst="rect">
                      <a:avLst/>
                    </a:prstGeom>
                    <a:noFill/>
                    <a:ln>
                      <a:noFill/>
                    </a:ln>
                  </pic:spPr>
                </pic:pic>
              </a:graphicData>
            </a:graphic>
          </wp:anchor>
        </w:drawing>
      </w:r>
    </w:p>
    <w:p w14:paraId="059A280B">
      <w:pPr>
        <w:snapToGrid w:val="0"/>
        <w:spacing w:line="360" w:lineRule="exact"/>
        <w:ind w:firstLine="440" w:firstLineChars="200"/>
        <w:rPr>
          <w:rFonts w:ascii="Times New Roman" w:hAnsi="Times New Roman" w:eastAsia="仿宋" w:cs="Times New Roman"/>
          <w:sz w:val="22"/>
        </w:rPr>
      </w:pPr>
    </w:p>
    <w:p w14:paraId="2ECF37C9">
      <w:pPr>
        <w:snapToGrid w:val="0"/>
        <w:spacing w:line="360" w:lineRule="exact"/>
        <w:ind w:firstLine="440" w:firstLineChars="200"/>
        <w:rPr>
          <w:rFonts w:ascii="Times New Roman" w:hAnsi="Times New Roman" w:eastAsia="仿宋" w:cs="Times New Roman"/>
          <w:sz w:val="22"/>
        </w:rPr>
      </w:pPr>
    </w:p>
    <w:p w14:paraId="17F32783">
      <w:pPr>
        <w:snapToGrid w:val="0"/>
        <w:spacing w:line="360" w:lineRule="exact"/>
        <w:ind w:firstLine="440" w:firstLineChars="200"/>
        <w:rPr>
          <w:rFonts w:ascii="Times New Roman" w:hAnsi="Times New Roman" w:eastAsia="仿宋" w:cs="Times New Roman"/>
          <w:sz w:val="22"/>
        </w:rPr>
      </w:pPr>
    </w:p>
    <w:p w14:paraId="2DB0A1F9">
      <w:pPr>
        <w:snapToGrid w:val="0"/>
        <w:spacing w:line="360" w:lineRule="exact"/>
        <w:ind w:firstLine="440" w:firstLineChars="200"/>
        <w:rPr>
          <w:rFonts w:ascii="Times New Roman" w:hAnsi="Times New Roman" w:eastAsia="仿宋" w:cs="Times New Roman"/>
          <w:sz w:val="22"/>
        </w:rPr>
      </w:pPr>
    </w:p>
    <w:p w14:paraId="68B3A574">
      <w:pPr>
        <w:snapToGrid w:val="0"/>
        <w:spacing w:line="360" w:lineRule="exact"/>
        <w:ind w:firstLine="440" w:firstLineChars="200"/>
        <w:rPr>
          <w:rFonts w:ascii="Times New Roman" w:hAnsi="Times New Roman" w:eastAsia="仿宋" w:cs="Times New Roman"/>
          <w:sz w:val="22"/>
        </w:rPr>
      </w:pPr>
    </w:p>
    <w:p w14:paraId="7FBB7255">
      <w:pPr>
        <w:snapToGrid w:val="0"/>
        <w:spacing w:line="360" w:lineRule="exact"/>
        <w:ind w:firstLine="440" w:firstLineChars="200"/>
        <w:rPr>
          <w:rFonts w:ascii="Times New Roman" w:hAnsi="Times New Roman" w:eastAsia="仿宋" w:cs="Times New Roman"/>
          <w:sz w:val="22"/>
        </w:rPr>
      </w:pPr>
    </w:p>
    <w:p w14:paraId="5072B481">
      <w:pPr>
        <w:snapToGrid w:val="0"/>
        <w:spacing w:line="360" w:lineRule="exact"/>
        <w:ind w:firstLine="440" w:firstLineChars="200"/>
        <w:rPr>
          <w:rFonts w:ascii="Times New Roman" w:hAnsi="Times New Roman" w:eastAsia="仿宋" w:cs="Times New Roman"/>
          <w:sz w:val="22"/>
        </w:rPr>
      </w:pPr>
    </w:p>
    <w:p w14:paraId="25F8AB24">
      <w:pPr>
        <w:snapToGrid w:val="0"/>
        <w:spacing w:line="360" w:lineRule="exact"/>
        <w:ind w:firstLine="440" w:firstLineChars="200"/>
        <w:rPr>
          <w:rFonts w:ascii="Times New Roman" w:hAnsi="Times New Roman" w:eastAsia="仿宋" w:cs="Times New Roman"/>
          <w:sz w:val="22"/>
        </w:rPr>
      </w:pPr>
    </w:p>
    <w:p w14:paraId="409CBE4D">
      <w:pPr>
        <w:snapToGrid w:val="0"/>
        <w:spacing w:line="360" w:lineRule="exact"/>
        <w:ind w:firstLine="440" w:firstLineChars="200"/>
        <w:rPr>
          <w:rFonts w:ascii="Times New Roman" w:hAnsi="Times New Roman" w:eastAsia="仿宋" w:cs="Times New Roman"/>
          <w:sz w:val="22"/>
        </w:rPr>
      </w:pPr>
    </w:p>
    <w:p w14:paraId="7EF1D49B">
      <w:pPr>
        <w:snapToGrid w:val="0"/>
        <w:spacing w:line="360" w:lineRule="exact"/>
        <w:ind w:firstLine="440" w:firstLineChars="200"/>
        <w:rPr>
          <w:rFonts w:ascii="Times New Roman" w:hAnsi="Times New Roman" w:eastAsia="仿宋" w:cs="Times New Roman"/>
          <w:sz w:val="22"/>
        </w:rPr>
      </w:pPr>
    </w:p>
    <w:p w14:paraId="6F338498">
      <w:pPr>
        <w:snapToGrid w:val="0"/>
        <w:spacing w:line="360" w:lineRule="exact"/>
        <w:ind w:firstLine="440" w:firstLineChars="200"/>
        <w:rPr>
          <w:rFonts w:ascii="Times New Roman" w:hAnsi="Times New Roman" w:eastAsia="仿宋" w:cs="Times New Roman"/>
          <w:sz w:val="22"/>
        </w:rPr>
      </w:pPr>
    </w:p>
    <w:p w14:paraId="6DB56989">
      <w:pPr>
        <w:snapToGrid w:val="0"/>
        <w:spacing w:line="360" w:lineRule="exact"/>
        <w:ind w:firstLine="440" w:firstLineChars="200"/>
        <w:rPr>
          <w:rFonts w:ascii="Times New Roman" w:hAnsi="Times New Roman" w:eastAsia="仿宋" w:cs="Times New Roman"/>
          <w:sz w:val="22"/>
        </w:rPr>
      </w:pPr>
    </w:p>
    <w:p w14:paraId="11C098FA">
      <w:pPr>
        <w:snapToGrid w:val="0"/>
        <w:spacing w:line="360" w:lineRule="exact"/>
        <w:ind w:firstLine="440" w:firstLineChars="200"/>
        <w:rPr>
          <w:rFonts w:ascii="Times New Roman" w:hAnsi="Times New Roman" w:eastAsia="仿宋" w:cs="Times New Roman"/>
          <w:sz w:val="22"/>
        </w:rPr>
      </w:pPr>
    </w:p>
    <w:p w14:paraId="19CA58A2">
      <w:pPr>
        <w:snapToGrid w:val="0"/>
        <w:spacing w:line="360" w:lineRule="exact"/>
        <w:ind w:firstLine="440" w:firstLineChars="200"/>
        <w:rPr>
          <w:rFonts w:ascii="Times New Roman" w:hAnsi="Times New Roman" w:eastAsia="仿宋" w:cs="Times New Roman"/>
          <w:sz w:val="22"/>
        </w:rPr>
      </w:pPr>
    </w:p>
    <w:p w14:paraId="09552EE8">
      <w:pPr>
        <w:snapToGrid w:val="0"/>
        <w:spacing w:line="360" w:lineRule="exact"/>
        <w:ind w:firstLine="440" w:firstLineChars="200"/>
        <w:rPr>
          <w:rFonts w:ascii="Times New Roman" w:hAnsi="Times New Roman" w:eastAsia="仿宋" w:cs="Times New Roman"/>
          <w:sz w:val="22"/>
        </w:rPr>
      </w:pPr>
    </w:p>
    <w:p w14:paraId="01A2337E">
      <w:pPr>
        <w:snapToGrid w:val="0"/>
        <w:spacing w:line="360" w:lineRule="exact"/>
        <w:ind w:firstLine="440" w:firstLineChars="200"/>
        <w:rPr>
          <w:rFonts w:ascii="Times New Roman" w:hAnsi="Times New Roman" w:eastAsia="仿宋" w:cs="Times New Roman"/>
          <w:sz w:val="22"/>
        </w:rPr>
      </w:pPr>
    </w:p>
    <w:p w14:paraId="1A405C51">
      <w:pPr>
        <w:snapToGrid w:val="0"/>
        <w:spacing w:line="360" w:lineRule="exact"/>
        <w:ind w:firstLine="440" w:firstLineChars="200"/>
        <w:rPr>
          <w:rFonts w:ascii="Times New Roman" w:hAnsi="Times New Roman" w:eastAsia="仿宋" w:cs="Times New Roman"/>
          <w:sz w:val="22"/>
        </w:rPr>
      </w:pPr>
    </w:p>
    <w:p w14:paraId="23D087B1">
      <w:pPr>
        <w:snapToGrid w:val="0"/>
        <w:spacing w:line="360" w:lineRule="exact"/>
        <w:ind w:firstLine="442" w:firstLineChars="200"/>
        <w:rPr>
          <w:rFonts w:ascii="Times New Roman" w:hAnsi="Times New Roman" w:eastAsia="仿宋" w:cs="Times New Roman"/>
          <w:sz w:val="22"/>
        </w:rPr>
      </w:pPr>
      <w:bookmarkStart w:id="228" w:name="_GoBack"/>
      <w:bookmarkEnd w:id="228"/>
      <w:r>
        <w:rPr>
          <w:rFonts w:ascii="Times New Roman" w:hAnsi="Times New Roman" w:eastAsia="仿宋" w:cs="Times New Roman"/>
          <w:b/>
          <w:bCs/>
          <w:sz w:val="22"/>
        </w:rPr>
        <w:t>Smart terminals</w:t>
      </w:r>
      <w:r>
        <w:rPr>
          <w:rFonts w:ascii="Times New Roman" w:hAnsi="Times New Roman" w:eastAsia="仿宋" w:cs="Times New Roman"/>
          <w:sz w:val="22"/>
        </w:rPr>
        <w:t>. Based on Wangcheng ETDZ, Xiangtan ETDZ, and Changsha Jinxia ETDZ, we aim to develop consumer electronics terminals by introducing enterprises in the terminals R&amp;D and production including the in-vehicle smart terminals, smart mobile terminals, robotics, smart home appliances, smart security systems, smart homes, and smart wearables. Based on Chenglingji New Port Area, Chenzhou HTZ, and Huaihua International Land Port Economic Development Zone, we aim to introduce enterprises in domestic computers, security information products, printers, and network switches/routers. Based on the Yiyang Changchun ETDZ, Longling Industrial Development Zone, Jianghua ETDZ, and Xinhua HTZ, we aim to introduce electronic components-engaged enterprises, such as those in high-end capacitors, printed circuit boards (PCBs), electronic ceramics, etc.</w:t>
      </w:r>
    </w:p>
    <w:p w14:paraId="125D46F4">
      <w:pPr>
        <w:snapToGrid w:val="0"/>
        <w:spacing w:line="360" w:lineRule="exact"/>
        <w:ind w:firstLine="440" w:firstLineChars="200"/>
        <w:rPr>
          <w:rFonts w:ascii="Times New Roman" w:hAnsi="Times New Roman" w:eastAsia="仿宋" w:cs="Times New Roman"/>
          <w:sz w:val="22"/>
        </w:rPr>
        <w:sectPr>
          <w:headerReference r:id="rId17" w:type="first"/>
          <w:footerReference r:id="rId19" w:type="first"/>
          <w:headerReference r:id="rId15" w:type="default"/>
          <w:headerReference r:id="rId16" w:type="even"/>
          <w:footerReference r:id="rId18" w:type="even"/>
          <w:pgSz w:w="8391" w:h="11907"/>
          <w:pgMar w:top="1440" w:right="1080" w:bottom="1440" w:left="1080" w:header="680" w:footer="992" w:gutter="0"/>
          <w:cols w:space="720" w:num="1"/>
          <w:docGrid w:type="lines" w:linePitch="381" w:charSpace="0"/>
        </w:sectPr>
      </w:pPr>
    </w:p>
    <w:p w14:paraId="6BA30C2B">
      <w:pPr>
        <w:keepNext/>
        <w:snapToGrid w:val="0"/>
        <w:spacing w:afterLines="50" w:line="360" w:lineRule="exact"/>
        <w:jc w:val="center"/>
        <w:outlineLvl w:val="1"/>
        <w:rPr>
          <w:rFonts w:ascii="Times New Roman" w:hAnsi="Times New Roman" w:eastAsia="仿宋" w:cs="Times New Roman"/>
          <w:b/>
          <w:bCs/>
          <w:sz w:val="22"/>
          <w:szCs w:val="24"/>
        </w:rPr>
      </w:pPr>
      <w:bookmarkStart w:id="150" w:name="_Toc163910344"/>
      <w:r>
        <w:rPr>
          <w:rFonts w:hint="eastAsia" w:ascii="Times New Roman" w:hAnsi="Times New Roman" w:eastAsia="仿宋" w:cs="Times New Roman"/>
          <w:b/>
          <w:bCs/>
          <w:sz w:val="22"/>
          <w:szCs w:val="24"/>
        </w:rPr>
        <w:t xml:space="preserve">10. </w:t>
      </w:r>
      <w:r>
        <w:rPr>
          <w:rFonts w:ascii="Times New Roman" w:hAnsi="Times New Roman" w:eastAsia="仿宋" w:cs="Times New Roman"/>
          <w:b/>
          <w:bCs/>
          <w:sz w:val="22"/>
          <w:szCs w:val="24"/>
        </w:rPr>
        <w:t>New Energy</w:t>
      </w:r>
      <w:bookmarkEnd w:id="150"/>
      <w:r>
        <w:rPr>
          <w:rFonts w:ascii="Times New Roman" w:hAnsi="Times New Roman" w:eastAsia="仿宋" w:cs="Times New Roman"/>
          <w:b/>
          <w:bCs/>
          <w:sz w:val="22"/>
          <w:szCs w:val="24"/>
        </w:rPr>
        <w:t xml:space="preserve"> </w:t>
      </w:r>
    </w:p>
    <w:p w14:paraId="51E8BE50">
      <w:pPr>
        <w:snapToGrid w:val="0"/>
        <w:spacing w:line="360" w:lineRule="exact"/>
        <w:ind w:firstLine="442" w:firstLineChars="200"/>
        <w:outlineLvl w:val="2"/>
        <w:rPr>
          <w:rFonts w:ascii="Times New Roman" w:hAnsi="Times New Roman" w:eastAsia="黑体" w:cs="Times New Roman"/>
          <w:b/>
          <w:sz w:val="22"/>
        </w:rPr>
      </w:pPr>
      <w:bookmarkStart w:id="151" w:name="_Toc163910345"/>
      <w:r>
        <w:rPr>
          <w:rFonts w:ascii="Times New Roman" w:hAnsi="Times New Roman" w:eastAsia="黑体" w:cs="Times New Roman"/>
          <w:b/>
          <w:sz w:val="22"/>
        </w:rPr>
        <w:t>(1) Development Status</w:t>
      </w:r>
      <w:bookmarkEnd w:id="151"/>
    </w:p>
    <w:p w14:paraId="352AB585">
      <w:pPr>
        <w:snapToGrid w:val="0"/>
        <w:spacing w:line="360" w:lineRule="exact"/>
        <w:ind w:firstLine="440" w:firstLineChars="200"/>
        <w:rPr>
          <w:rFonts w:hint="eastAsia" w:ascii="Times New Roman" w:hAnsi="Times New Roman" w:eastAsia="仿宋" w:cs="Times New Roman"/>
          <w:sz w:val="22"/>
        </w:rPr>
      </w:pPr>
      <w:r>
        <w:rPr>
          <w:rFonts w:hint="eastAsia" w:ascii="Times New Roman" w:hAnsi="Times New Roman" w:eastAsia="仿宋" w:cs="Times New Roman"/>
          <w:sz w:val="22"/>
        </w:rPr>
        <w:t>In 2024, the revenue of Hunan's new energy industry chain reached 680 billion yuan, a year-on-year increase of 2.9%. The province boasts a complete industrial ecosystem with distinct advantages in areas like motors and electronic controls. The Hengyang-Changsha-Zhuzhou-Xiangtan Ultra-High-Voltage Power Transmission and Transformation Equipment Cluster has been selected as a national-level industrial cluster, with its technology at world-advanced levels. Furthermore, Hunan is one of China's most comprehensive gathering areas for the energy storage materials industry chain. Its cathode material production capacity ranks first in the sector with a market share of over 20%, and its anode material market share exceeds 10%. CNGR Advanced Material is the global leader in precursor market share, Brunp Recycling is the largest battery recycling enterprise in Asia, and FinDreams Battery operates the most technologically advanced and mass-produced blade battery production base in China.</w:t>
      </w:r>
    </w:p>
    <w:p w14:paraId="53435F82">
      <w:pPr>
        <w:snapToGrid w:val="0"/>
        <w:spacing w:line="360" w:lineRule="exact"/>
        <w:ind w:firstLine="440" w:firstLineChars="200"/>
        <w:rPr>
          <w:rFonts w:ascii="Times New Roman" w:hAnsi="Times New Roman" w:eastAsia="仿宋" w:cs="Times New Roman"/>
          <w:sz w:val="22"/>
        </w:rPr>
      </w:pPr>
      <w:r>
        <w:rPr>
          <w:rFonts w:hint="eastAsia" w:ascii="Times New Roman" w:hAnsi="Times New Roman" w:eastAsia="仿宋" w:cs="Times New Roman"/>
          <w:sz w:val="22"/>
        </w:rPr>
        <w:t>The production of new energy vehicles approached 1 million units, ranking 5th in China and accounting for nearly one-tenth of the national total. The industry possesses a complete system from core materials and key components to complete vehicles, aggregating major manufacturers like BYD Changsha. Additionally, Hunan is home to renowned universities such as Central South University (renowned as the "Cradle of Talent" for the lithium battery industry) and Hunan University, alongside several national-level innovation platforms, underscoring its robust scientific research capabilities.</w:t>
      </w:r>
    </w:p>
    <w:p w14:paraId="7102CE86">
      <w:pPr>
        <w:snapToGrid w:val="0"/>
        <w:spacing w:beforeLines="50"/>
        <w:rPr>
          <w:rFonts w:ascii="Times New Roman" w:hAnsi="Times New Roman" w:eastAsia="仿宋" w:cs="Times New Roman"/>
          <w:sz w:val="20"/>
          <w:szCs w:val="21"/>
        </w:rPr>
      </w:pPr>
      <w:r>
        <w:drawing>
          <wp:inline distT="0" distB="0" distL="0" distR="0">
            <wp:extent cx="3956685" cy="1625600"/>
            <wp:effectExtent l="0" t="0" r="571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956685" cy="1625681"/>
                    </a:xfrm>
                    <a:prstGeom prst="rect">
                      <a:avLst/>
                    </a:prstGeom>
                    <a:noFill/>
                    <a:ln>
                      <a:noFill/>
                    </a:ln>
                  </pic:spPr>
                </pic:pic>
              </a:graphicData>
            </a:graphic>
          </wp:inline>
        </w:drawing>
      </w:r>
    </w:p>
    <w:p w14:paraId="1E136214">
      <w:pPr>
        <w:adjustRightInd w:val="0"/>
        <w:snapToGrid w:val="0"/>
        <w:spacing w:afterLines="20"/>
        <w:jc w:val="center"/>
        <w:rPr>
          <w:rFonts w:ascii="Times New Roman" w:hAnsi="Times New Roman" w:eastAsia="黑体" w:cs="Times New Roman"/>
          <w:sz w:val="18"/>
          <w:szCs w:val="21"/>
        </w:rPr>
      </w:pPr>
      <w:r>
        <w:rPr>
          <w:rFonts w:ascii="Times New Roman" w:hAnsi="Times New Roman" w:eastAsia="黑体" w:cs="Times New Roman"/>
          <w:sz w:val="18"/>
          <w:szCs w:val="21"/>
        </w:rPr>
        <w:t>Leading enterprises in the new energy industry</w:t>
      </w:r>
    </w:p>
    <w:p w14:paraId="4C435E40">
      <w:pPr>
        <w:keepNext/>
        <w:snapToGrid w:val="0"/>
        <w:spacing w:line="360" w:lineRule="exact"/>
        <w:ind w:firstLine="442" w:firstLineChars="200"/>
        <w:outlineLvl w:val="2"/>
        <w:rPr>
          <w:rFonts w:ascii="Times New Roman" w:hAnsi="Times New Roman" w:eastAsia="黑体" w:cs="Times New Roman"/>
          <w:b/>
          <w:sz w:val="22"/>
        </w:rPr>
      </w:pPr>
      <w:bookmarkStart w:id="152" w:name="_Toc163910346"/>
      <w:r>
        <w:rPr>
          <w:rFonts w:ascii="Times New Roman" w:hAnsi="Times New Roman" w:eastAsia="黑体" w:cs="Times New Roman"/>
          <w:b/>
          <w:sz w:val="22"/>
        </w:rPr>
        <w:t>(2) Development Target</w:t>
      </w:r>
      <w:bookmarkEnd w:id="152"/>
    </w:p>
    <w:p w14:paraId="7925000A">
      <w:pPr>
        <w:snapToGrid w:val="0"/>
        <w:spacing w:line="36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By 2027, the total revenue of Hunan’s NEV industry is expected to reach 300 billion yuan; the new energy-storage industry, 150 billion yuan; the new energy equipment industry, 450 billion yuan.</w:t>
      </w:r>
    </w:p>
    <w:p w14:paraId="6E5E9678">
      <w:pPr>
        <w:keepNext/>
        <w:snapToGrid w:val="0"/>
        <w:spacing w:line="360" w:lineRule="exact"/>
        <w:ind w:firstLine="442" w:firstLineChars="200"/>
        <w:outlineLvl w:val="2"/>
        <w:rPr>
          <w:rFonts w:ascii="Times New Roman" w:hAnsi="Times New Roman" w:eastAsia="黑体" w:cs="Times New Roman"/>
          <w:b/>
          <w:sz w:val="22"/>
        </w:rPr>
      </w:pPr>
      <w:bookmarkStart w:id="153" w:name="_Toc128041766"/>
      <w:bookmarkStart w:id="154" w:name="_Toc130669167"/>
      <w:bookmarkStart w:id="155" w:name="_Toc128033734"/>
      <w:bookmarkStart w:id="156" w:name="_Toc131156298"/>
      <w:bookmarkStart w:id="157" w:name="_Toc129010590"/>
      <w:bookmarkStart w:id="158" w:name="_Toc129701384"/>
      <w:bookmarkStart w:id="159" w:name="_Toc130838001"/>
      <w:bookmarkStart w:id="160" w:name="_Toc8063"/>
      <w:bookmarkStart w:id="161" w:name="_Toc130837104"/>
      <w:bookmarkStart w:id="162" w:name="_Toc163910347"/>
      <w:r>
        <w:rPr>
          <w:rFonts w:ascii="Times New Roman" w:hAnsi="Times New Roman" w:eastAsia="黑体" w:cs="Times New Roman"/>
          <w:b/>
          <w:sz w:val="22"/>
        </w:rPr>
        <w:t>(3) Polic</w:t>
      </w:r>
      <w:bookmarkEnd w:id="153"/>
      <w:bookmarkEnd w:id="154"/>
      <w:bookmarkEnd w:id="155"/>
      <w:bookmarkEnd w:id="156"/>
      <w:bookmarkEnd w:id="157"/>
      <w:bookmarkEnd w:id="158"/>
      <w:bookmarkEnd w:id="159"/>
      <w:bookmarkEnd w:id="160"/>
      <w:bookmarkEnd w:id="161"/>
      <w:r>
        <w:rPr>
          <w:rFonts w:ascii="Times New Roman" w:hAnsi="Times New Roman" w:eastAsia="黑体" w:cs="Times New Roman"/>
          <w:b/>
          <w:sz w:val="22"/>
        </w:rPr>
        <w:t>y Support</w:t>
      </w:r>
      <w:bookmarkEnd w:id="162"/>
    </w:p>
    <w:p w14:paraId="122B03EA">
      <w:pPr>
        <w:pStyle w:val="85"/>
        <w:numPr>
          <w:ilvl w:val="0"/>
          <w:numId w:val="3"/>
        </w:numPr>
        <w:ind w:left="426" w:hanging="142" w:firstLineChars="0"/>
        <w:rPr>
          <w:i/>
          <w:iCs/>
        </w:rPr>
      </w:pPr>
      <w:r>
        <w:rPr>
          <w:i/>
          <w:iCs/>
        </w:rPr>
        <w:t xml:space="preserve">14th Five-Year Plan for the Development of Renewable Energy in Hunan Province </w:t>
      </w:r>
    </w:p>
    <w:p w14:paraId="4F24E0FD">
      <w:pPr>
        <w:pStyle w:val="85"/>
        <w:numPr>
          <w:ilvl w:val="0"/>
          <w:numId w:val="3"/>
        </w:numPr>
        <w:ind w:left="426" w:hanging="142" w:firstLineChars="0"/>
        <w:rPr>
          <w:i/>
          <w:iCs/>
        </w:rPr>
      </w:pPr>
      <w:bookmarkStart w:id="163" w:name="_Hlk163549169"/>
      <w:r>
        <w:rPr>
          <w:i/>
          <w:iCs/>
        </w:rPr>
        <w:t xml:space="preserve">14th Five-Year Plan for the Development of </w:t>
      </w:r>
      <w:bookmarkEnd w:id="163"/>
      <w:r>
        <w:rPr>
          <w:i/>
          <w:iCs/>
        </w:rPr>
        <w:t xml:space="preserve">New Energy and Energy Conservation Industry in Hunan Province </w:t>
      </w:r>
    </w:p>
    <w:p w14:paraId="0109B19D">
      <w:pPr>
        <w:pStyle w:val="85"/>
        <w:numPr>
          <w:ilvl w:val="0"/>
          <w:numId w:val="3"/>
        </w:numPr>
        <w:ind w:left="426" w:hanging="142" w:firstLineChars="0"/>
        <w:rPr>
          <w:i/>
          <w:iCs/>
        </w:rPr>
      </w:pPr>
      <w:r>
        <w:rPr>
          <w:i/>
          <w:iCs/>
        </w:rPr>
        <w:t>14th Five-Year Plan for the Development of Intelligent Connected Vehicle Industry in Hunan Province</w:t>
      </w:r>
    </w:p>
    <w:p w14:paraId="6FA27AD6">
      <w:pPr>
        <w:pStyle w:val="85"/>
        <w:numPr>
          <w:ilvl w:val="0"/>
          <w:numId w:val="3"/>
        </w:numPr>
        <w:ind w:left="426" w:hanging="142" w:firstLineChars="0"/>
        <w:rPr>
          <w:i/>
          <w:iCs/>
        </w:rPr>
      </w:pPr>
      <w:r>
        <w:rPr>
          <w:i/>
          <w:iCs/>
        </w:rPr>
        <w:t>Development Plan for Automobile Industry in Hunan Province</w:t>
      </w:r>
    </w:p>
    <w:p w14:paraId="57D44B8C">
      <w:pPr>
        <w:pStyle w:val="85"/>
        <w:numPr>
          <w:ilvl w:val="0"/>
          <w:numId w:val="3"/>
        </w:numPr>
        <w:ind w:left="426" w:hanging="142" w:firstLineChars="0"/>
        <w:rPr>
          <w:i/>
          <w:iCs/>
        </w:rPr>
      </w:pPr>
      <w:r>
        <w:rPr>
          <w:i/>
          <w:iCs/>
        </w:rPr>
        <w:t>Policy Measures on Supporting the High-quality Development of New Energy Vehicle Industry</w:t>
      </w:r>
    </w:p>
    <w:p w14:paraId="3A1E72AA">
      <w:pPr>
        <w:rPr>
          <w:i/>
          <w:iCs/>
        </w:rPr>
      </w:pPr>
      <w:r>
        <w:rPr>
          <w:iCs/>
        </w:rPr>
        <mc:AlternateContent>
          <mc:Choice Requires="wps">
            <w:drawing>
              <wp:anchor distT="0" distB="0" distL="114300" distR="114300" simplePos="0" relativeHeight="251672576" behindDoc="0" locked="0" layoutInCell="1" allowOverlap="1">
                <wp:simplePos x="0" y="0"/>
                <wp:positionH relativeFrom="column">
                  <wp:posOffset>132715</wp:posOffset>
                </wp:positionH>
                <wp:positionV relativeFrom="paragraph">
                  <wp:posOffset>135890</wp:posOffset>
                </wp:positionV>
                <wp:extent cx="3875405" cy="2490470"/>
                <wp:effectExtent l="6350" t="123190" r="19685" b="7620"/>
                <wp:wrapNone/>
                <wp:docPr id="34" name="矩形标注 43"/>
                <wp:cNvGraphicFramePr/>
                <a:graphic xmlns:a="http://schemas.openxmlformats.org/drawingml/2006/main">
                  <a:graphicData uri="http://schemas.microsoft.com/office/word/2010/wordprocessingShape">
                    <wps:wsp>
                      <wps:cNvSpPr/>
                      <wps:spPr>
                        <a:xfrm>
                          <a:off x="0" y="0"/>
                          <a:ext cx="3875405" cy="2490470"/>
                        </a:xfrm>
                        <a:prstGeom prst="wedgeRectCallout">
                          <a:avLst>
                            <a:gd name="adj1" fmla="val -41856"/>
                            <a:gd name="adj2" fmla="val -54514"/>
                          </a:avLst>
                        </a:prstGeom>
                        <a:solidFill>
                          <a:srgbClr val="E2EFD9"/>
                        </a:solidFill>
                        <a:ln w="12700" cap="flat" cmpd="sng">
                          <a:solidFill>
                            <a:srgbClr val="A8D08D"/>
                          </a:solidFill>
                          <a:prstDash val="solid"/>
                          <a:miter/>
                          <a:headEnd type="none" w="med" len="med"/>
                          <a:tailEnd type="none" w="med" len="med"/>
                        </a:ln>
                      </wps:spPr>
                      <wps:txbx>
                        <w:txbxContent>
                          <w:p w14:paraId="5A3839C6">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46560B9F">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R&amp;D and new model support. </w:t>
                            </w:r>
                            <w:r>
                              <w:rPr>
                                <w:rFonts w:ascii="Times New Roman" w:hAnsi="Times New Roman" w:cs="Times New Roman"/>
                                <w:color w:val="3F3F3F" w:themeColor="text1" w:themeTint="BF"/>
                                <w:sz w:val="18"/>
                                <w:szCs w:val="18"/>
                              </w:rPr>
                              <w:t>Hunan’s automobile manufacturing companies that develop and produce new energy passenger vehicles, buses, trucks, special-purpose vehicles, and modified buses will receive a lump sum reward of 5 million yuan for each model if their sales volumes reach 2,000 units, 100 units, 100 units, and 100 units respectively within one year after being included in the MIIT’s “Catalogue of Recommended Models for NEV Promotion and Application”.</w:t>
                            </w:r>
                          </w:p>
                          <w:p w14:paraId="62A00A1E">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Innovation support. </w:t>
                            </w:r>
                            <w:r>
                              <w:rPr>
                                <w:rFonts w:ascii="Times New Roman" w:hAnsi="Times New Roman" w:cs="Times New Roman"/>
                                <w:color w:val="3F3F3F" w:themeColor="text1" w:themeTint="BF"/>
                                <w:sz w:val="18"/>
                                <w:szCs w:val="18"/>
                              </w:rPr>
                              <w:t>Automobile manufacturing enterprises that establish new R&amp;D centers in Hunan (including the expansion of existing centers), possessing the R&amp;D capacity of key technologies, integrated technologies, and generic technologies, and demonstrate higher production utilization rates than the national average, if their total investments exceed 200 million yuan, we will provide support equivalent to 10% of the actual investment in project equipment and facilities up to 50 million yuan.</w:t>
                            </w:r>
                          </w:p>
                          <w:p w14:paraId="41328C77">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Headquarters support.</w:t>
                            </w:r>
                            <w:r>
                              <w:rPr>
                                <w:rFonts w:ascii="Times New Roman" w:hAnsi="Times New Roman" w:cs="Times New Roman"/>
                                <w:color w:val="3F3F3F" w:themeColor="text1" w:themeTint="BF"/>
                                <w:sz w:val="18"/>
                                <w:szCs w:val="18"/>
                              </w:rPr>
                              <w:t xml:space="preserve"> Priority support will be given to national or regional headquarters nestled in Hunan and projects that integrate and utilize idle production capacity in Hunan in accordance with national industrial policy. Support will be given based on a case-by-case approach.</w:t>
                            </w:r>
                          </w:p>
                        </w:txbxContent>
                      </wps:txbx>
                      <wps:bodyPr anchor="ctr" anchorCtr="0" upright="1"/>
                    </wps:wsp>
                  </a:graphicData>
                </a:graphic>
              </wp:anchor>
            </w:drawing>
          </mc:Choice>
          <mc:Fallback>
            <w:pict>
              <v:shape id="矩形标注 43" o:spid="_x0000_s1026" o:spt="61" type="#_x0000_t61" style="position:absolute;left:0pt;margin-left:10.45pt;margin-top:10.7pt;height:196.1pt;width:305.15pt;z-index:251672576;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" adj="1759,-975">
                <v:fill on="t" focussize="0,0"/>
                <v:stroke weight="1pt" color="#A8D08D" joinstyle="miter"/>
                <v:imagedata o:title=""/>
                <o:lock v:ext="edit" aspectratio="f"/>
                <v:textbox>
                  <w:txbxContent>
                    <w:p w14:paraId="5A3839C6">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46560B9F">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R&amp;D and new model support. </w:t>
                      </w:r>
                      <w:r>
                        <w:rPr>
                          <w:rFonts w:ascii="Times New Roman" w:hAnsi="Times New Roman" w:cs="Times New Roman"/>
                          <w:color w:val="3F3F3F" w:themeColor="text1" w:themeTint="BF"/>
                          <w:sz w:val="18"/>
                          <w:szCs w:val="18"/>
                        </w:rPr>
                        <w:t>Hunan’s automobile manufacturing companies that develop and produce new energy passenger vehicles, buses, trucks, special-purpose vehicles, and modified buses will receive a lump sum reward of 5 million yuan for each model if their sales volumes reach 2,000 units, 100 units, 100 units, and 100 units respectively within one year after being included in the MIIT’s “Catalogue of Recommended Models for NEV Promotion and Application”.</w:t>
                      </w:r>
                    </w:p>
                    <w:p w14:paraId="62A00A1E">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Innovation support. </w:t>
                      </w:r>
                      <w:r>
                        <w:rPr>
                          <w:rFonts w:ascii="Times New Roman" w:hAnsi="Times New Roman" w:cs="Times New Roman"/>
                          <w:color w:val="3F3F3F" w:themeColor="text1" w:themeTint="BF"/>
                          <w:sz w:val="18"/>
                          <w:szCs w:val="18"/>
                        </w:rPr>
                        <w:t>Automobile manufacturing enterprises that establish new R&amp;D centers in Hunan (including the expansion of existing centers), possessing the R&amp;D capacity of key technologies, integrated technologies, and generic technologies, and demonstrate higher production utilization rates than the national average, if their total investments exceed 200 million yuan, we will provide support equivalent to 10% of the actual investment in project equipment and facilities up to 50 million yuan.</w:t>
                      </w:r>
                    </w:p>
                    <w:p w14:paraId="41328C77">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Headquarters support.</w:t>
                      </w:r>
                      <w:r>
                        <w:rPr>
                          <w:rFonts w:ascii="Times New Roman" w:hAnsi="Times New Roman" w:cs="Times New Roman"/>
                          <w:color w:val="3F3F3F" w:themeColor="text1" w:themeTint="BF"/>
                          <w:sz w:val="18"/>
                          <w:szCs w:val="18"/>
                        </w:rPr>
                        <w:t xml:space="preserve"> Priority support will be given to national or regional headquarters nestled in Hunan and projects that integrate and utilize idle production capacity in Hunan in accordance with national industrial policy. Support will be given based on a case-by-case approach.</w:t>
                      </w:r>
                    </w:p>
                  </w:txbxContent>
                </v:textbox>
              </v:shape>
            </w:pict>
          </mc:Fallback>
        </mc:AlternateContent>
      </w:r>
    </w:p>
    <w:p w14:paraId="152E2B87">
      <w:pPr>
        <w:rPr>
          <w:i/>
          <w:iCs/>
        </w:rPr>
      </w:pPr>
    </w:p>
    <w:p w14:paraId="22F31E38">
      <w:pPr>
        <w:rPr>
          <w:i/>
          <w:iCs/>
        </w:rPr>
      </w:pPr>
    </w:p>
    <w:p w14:paraId="1C10CC63">
      <w:pPr>
        <w:rPr>
          <w:i/>
          <w:iCs/>
        </w:rPr>
      </w:pPr>
    </w:p>
    <w:p w14:paraId="07755FCD">
      <w:pPr>
        <w:rPr>
          <w:i/>
          <w:iCs/>
        </w:rPr>
      </w:pPr>
    </w:p>
    <w:p w14:paraId="5EF8E75F">
      <w:pPr>
        <w:rPr>
          <w:i/>
          <w:iCs/>
        </w:rPr>
      </w:pPr>
    </w:p>
    <w:p w14:paraId="08344535">
      <w:pPr>
        <w:rPr>
          <w:i/>
          <w:iCs/>
        </w:rPr>
      </w:pPr>
    </w:p>
    <w:p w14:paraId="6C44BBEF">
      <w:pPr>
        <w:rPr>
          <w:i/>
          <w:iCs/>
        </w:rPr>
      </w:pPr>
    </w:p>
    <w:p w14:paraId="58A24862">
      <w:pPr>
        <w:rPr>
          <w:i/>
          <w:iCs/>
        </w:rPr>
      </w:pPr>
    </w:p>
    <w:p w14:paraId="4A48F5FB">
      <w:pPr>
        <w:rPr>
          <w:i/>
          <w:iCs/>
        </w:rPr>
      </w:pPr>
    </w:p>
    <w:p w14:paraId="13B48D4A">
      <w:pPr>
        <w:rPr>
          <w:i/>
          <w:iCs/>
        </w:rPr>
      </w:pPr>
    </w:p>
    <w:p w14:paraId="38F67B9A">
      <w:pPr>
        <w:pStyle w:val="85"/>
        <w:numPr>
          <w:ilvl w:val="0"/>
          <w:numId w:val="3"/>
        </w:numPr>
        <w:ind w:left="426" w:hanging="142" w:firstLineChars="0"/>
        <w:rPr>
          <w:i/>
          <w:iCs/>
        </w:rPr>
      </w:pPr>
      <w:r>
        <w:rPr>
          <w:i/>
          <w:iCs/>
        </w:rPr>
        <w:t>Outline of New Power System Development Plan in Hunan Province</w:t>
      </w:r>
    </w:p>
    <w:p w14:paraId="3A725CAE">
      <w:pPr>
        <w:pStyle w:val="85"/>
        <w:numPr>
          <w:ilvl w:val="0"/>
          <w:numId w:val="3"/>
        </w:numPr>
        <w:ind w:left="426" w:hanging="142" w:firstLineChars="0"/>
        <w:rPr>
          <w:i/>
          <w:iCs/>
        </w:rPr>
      </w:pPr>
      <w:r>
        <w:rPr>
          <w:i/>
          <w:iCs/>
        </w:rPr>
        <w:t xml:space="preserve">Regulations on Promoting Advanced Manufacturing Industry in </w:t>
      </w:r>
      <w:r>
        <w:rPr>
          <w:rFonts w:cs="仿宋_GB2312"/>
        </w:rPr>
        <mc:AlternateContent>
          <mc:Choice Requires="wps">
            <w:drawing>
              <wp:anchor distT="0" distB="0" distL="114300" distR="114300" simplePos="0" relativeHeight="251687936" behindDoc="0" locked="0" layoutInCell="1" allowOverlap="1">
                <wp:simplePos x="0" y="0"/>
                <wp:positionH relativeFrom="margin">
                  <wp:posOffset>3044190</wp:posOffset>
                </wp:positionH>
                <wp:positionV relativeFrom="margin">
                  <wp:posOffset>85090</wp:posOffset>
                </wp:positionV>
                <wp:extent cx="914400" cy="962025"/>
                <wp:effectExtent l="6350" t="6350" r="8890" b="6985"/>
                <wp:wrapSquare wrapText="bothSides"/>
                <wp:docPr id="49" name="文本框 24"/>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48F60C3B">
                            <w:pPr>
                              <w:pStyle w:val="92"/>
                              <w:adjustRightInd w:val="0"/>
                            </w:pPr>
                            <w:r>
                              <w:drawing>
                                <wp:inline distT="0" distB="0" distL="0" distR="0">
                                  <wp:extent cx="722630" cy="722630"/>
                                  <wp:effectExtent l="0" t="0" r="1270" b="127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69">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0F6009EB">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69CF80C9">
                            <w:pPr>
                              <w:pStyle w:val="92"/>
                              <w:adjustRightInd w:val="0"/>
                            </w:pPr>
                          </w:p>
                        </w:txbxContent>
                      </wps:txbx>
                      <wps:bodyPr upright="1"/>
                    </wps:wsp>
                  </a:graphicData>
                </a:graphic>
              </wp:anchor>
            </w:drawing>
          </mc:Choice>
          <mc:Fallback>
            <w:pict>
              <v:shape id="文本框 24" o:spid="_x0000_s1026" o:spt="202" type="#_x0000_t202" style="position:absolute;left:0pt;margin-left:239.7pt;margin-top:6.7pt;height:75.75pt;width:72pt;mso-position-horizontal-relative:margin;mso-position-vertical-relative:margin;mso-wrap-distance-bottom:0pt;mso-wrap-distance-left:9pt;mso-wrap-distance-right:9pt;mso-wrap-distance-top:0pt;z-index:251687936;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">
                <v:fill on="f" focussize="0,0"/>
                <v:stroke weight="1pt" color="#A8D08D" joinstyle="miter"/>
                <v:imagedata o:title=""/>
                <o:lock v:ext="edit" aspectratio="f"/>
                <v:textbox>
                  <w:txbxContent>
                    <w:p w14:paraId="48F60C3B">
                      <w:pPr>
                        <w:pStyle w:val="92"/>
                        <w:adjustRightInd w:val="0"/>
                      </w:pPr>
                      <w:r>
                        <w:drawing>
                          <wp:inline distT="0" distB="0" distL="0" distR="0">
                            <wp:extent cx="722630" cy="722630"/>
                            <wp:effectExtent l="0" t="0" r="1270" b="127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69">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0F6009EB">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69CF80C9">
                      <w:pPr>
                        <w:pStyle w:val="92"/>
                        <w:adjustRightInd w:val="0"/>
                      </w:pPr>
                    </w:p>
                  </w:txbxContent>
                </v:textbox>
                <w10:wrap type="square"/>
              </v:shape>
            </w:pict>
          </mc:Fallback>
        </mc:AlternateContent>
      </w:r>
      <w:r>
        <w:rPr>
          <w:i/>
          <w:iCs/>
        </w:rPr>
        <w:t>Hunan Province</w:t>
      </w:r>
    </w:p>
    <w:p w14:paraId="18AB0044">
      <w:pPr>
        <w:pStyle w:val="85"/>
        <w:numPr>
          <w:ilvl w:val="0"/>
          <w:numId w:val="3"/>
        </w:numPr>
        <w:ind w:left="426" w:hanging="142" w:firstLineChars="0"/>
        <w:rPr>
          <w:i/>
          <w:iCs/>
        </w:rPr>
      </w:pPr>
      <w:r>
        <w:rPr>
          <w:i/>
          <w:iCs/>
        </w:rPr>
        <w:t>Policy Measures to Support the Development of Advanced Manufacturing Supply Chain</w:t>
      </w:r>
    </w:p>
    <w:p w14:paraId="29D67049">
      <w:pPr>
        <w:pStyle w:val="85"/>
        <w:numPr>
          <w:ilvl w:val="0"/>
          <w:numId w:val="3"/>
        </w:numPr>
        <w:ind w:left="426" w:hanging="142" w:firstLineChars="0"/>
        <w:rPr>
          <w:i/>
          <w:iCs/>
        </w:rPr>
      </w:pPr>
      <w:r>
        <w:rPr>
          <w:i/>
          <w:iCs/>
        </w:rPr>
        <w:t>Implementation Rules on Policy Measures to Support the Development of Advanced Manufacturing Supply Chain</w:t>
      </w:r>
    </w:p>
    <w:p w14:paraId="7F12DBE7">
      <w:pPr>
        <w:pStyle w:val="85"/>
        <w:numPr>
          <w:ilvl w:val="0"/>
          <w:numId w:val="3"/>
        </w:numPr>
        <w:ind w:left="426" w:hanging="142" w:firstLineChars="0"/>
        <w:rPr>
          <w:i/>
          <w:iCs/>
        </w:rPr>
      </w:pPr>
      <w:r>
        <w:rPr>
          <w:i/>
          <w:iCs/>
        </w:rPr>
        <w:t>Fiscal Support Policy for Establishing a Hub of Advanced Manufacturing Industry of National Importance in Hunan Province</w:t>
      </w:r>
    </w:p>
    <w:p w14:paraId="6F73EDBA">
      <w:pPr>
        <w:pStyle w:val="85"/>
        <w:numPr>
          <w:ilvl w:val="0"/>
          <w:numId w:val="3"/>
        </w:numPr>
        <w:ind w:left="426" w:hanging="142" w:firstLineChars="0"/>
        <w:rPr>
          <w:i/>
          <w:iCs/>
        </w:rPr>
      </w:pPr>
      <w:r>
        <w:rPr>
          <w:i/>
          <w:iCs/>
        </w:rPr>
        <w:t>Plan for the Layout and Development of Provincial Parks of Supporting Industries for Major Advanced Manufacturing Industries</w:t>
      </w:r>
    </w:p>
    <w:p w14:paraId="2DBFA43C">
      <w:pPr>
        <w:adjustRightInd w:val="0"/>
        <w:snapToGrid w:val="0"/>
        <w:spacing w:beforeLines="50" w:afterLines="20"/>
        <w:ind w:firstLine="440"/>
        <w:jc w:val="center"/>
        <w:rPr>
          <w:rFonts w:ascii="Times New Roman" w:hAnsi="Times New Roman" w:eastAsia="黑体" w:cs="Times New Roman"/>
          <w:sz w:val="18"/>
          <w:szCs w:val="21"/>
        </w:rPr>
      </w:pPr>
      <w:r>
        <w:rPr>
          <w:rFonts w:ascii="Times New Roman" w:hAnsi="Times New Roman" w:eastAsia="黑体" w:cs="Times New Roman"/>
          <w:sz w:val="18"/>
          <w:szCs w:val="18"/>
        </w:rPr>
        <w:t xml:space="preserve">Funds supporting the new energy industry </w:t>
      </w:r>
    </w:p>
    <w:tbl>
      <w:tblPr>
        <w:tblStyle w:val="140"/>
        <w:tblW w:w="5000" w:type="pct"/>
        <w:jc w:val="center"/>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Layout w:type="autofit"/>
        <w:tblCellMar>
          <w:top w:w="0" w:type="dxa"/>
          <w:left w:w="108" w:type="dxa"/>
          <w:bottom w:w="0" w:type="dxa"/>
          <w:right w:w="108" w:type="dxa"/>
        </w:tblCellMar>
      </w:tblPr>
      <w:tblGrid>
        <w:gridCol w:w="460"/>
        <w:gridCol w:w="1375"/>
        <w:gridCol w:w="1719"/>
        <w:gridCol w:w="610"/>
        <w:gridCol w:w="772"/>
        <w:gridCol w:w="1511"/>
      </w:tblGrid>
      <w:tr w14:paraId="42B67472">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tblHeader/>
          <w:jc w:val="center"/>
        </w:trPr>
        <w:tc>
          <w:tcPr>
            <w:tcW w:w="357" w:type="pct"/>
            <w:vAlign w:val="center"/>
          </w:tcPr>
          <w:p w14:paraId="715A408E">
            <w:pPr>
              <w:widowControl/>
              <w:adjustRightInd w:val="0"/>
              <w:snapToGrid w:val="0"/>
              <w:spacing w:line="180" w:lineRule="exact"/>
              <w:ind w:left="-42" w:leftChars="-20" w:right="-42" w:rightChars="-20"/>
              <w:jc w:val="center"/>
              <w:textAlignment w:val="center"/>
              <w:rPr>
                <w:rFonts w:ascii="Times New Roman" w:hAnsi="Times New Roman" w:eastAsia="楷体" w:cs="Times New Roman"/>
                <w:b/>
                <w:bCs/>
                <w:kern w:val="0"/>
                <w:sz w:val="18"/>
                <w:szCs w:val="18"/>
              </w:rPr>
            </w:pPr>
            <w:r>
              <w:rPr>
                <w:rFonts w:ascii="Times New Roman" w:hAnsi="Times New Roman" w:eastAsia="楷体" w:cs="Times New Roman"/>
                <w:b/>
                <w:bCs/>
                <w:kern w:val="0"/>
                <w:sz w:val="18"/>
                <w:szCs w:val="18"/>
              </w:rPr>
              <w:t>No.</w:t>
            </w:r>
          </w:p>
        </w:tc>
        <w:tc>
          <w:tcPr>
            <w:tcW w:w="1066" w:type="pct"/>
            <w:vAlign w:val="center"/>
          </w:tcPr>
          <w:p w14:paraId="594D7B9A">
            <w:pPr>
              <w:widowControl/>
              <w:adjustRightInd w:val="0"/>
              <w:snapToGrid w:val="0"/>
              <w:spacing w:line="180" w:lineRule="exact"/>
              <w:ind w:left="-42" w:leftChars="-20" w:right="-42" w:rightChars="-20"/>
              <w:jc w:val="center"/>
              <w:textAlignment w:val="center"/>
              <w:rPr>
                <w:rFonts w:ascii="Times New Roman" w:hAnsi="Times New Roman" w:eastAsia="楷体" w:cs="Times New Roman"/>
                <w:b/>
                <w:bCs/>
                <w:kern w:val="0"/>
                <w:sz w:val="18"/>
                <w:szCs w:val="18"/>
              </w:rPr>
            </w:pPr>
            <w:r>
              <w:rPr>
                <w:rFonts w:ascii="Times New Roman" w:hAnsi="Times New Roman" w:eastAsia="楷体" w:cs="Times New Roman"/>
                <w:b/>
                <w:bCs/>
                <w:kern w:val="0"/>
                <w:sz w:val="18"/>
                <w:szCs w:val="18"/>
              </w:rPr>
              <w:t>Fund</w:t>
            </w:r>
          </w:p>
        </w:tc>
        <w:tc>
          <w:tcPr>
            <w:tcW w:w="1333" w:type="pct"/>
            <w:vAlign w:val="center"/>
          </w:tcPr>
          <w:p w14:paraId="4D087DA4">
            <w:pPr>
              <w:widowControl/>
              <w:adjustRightInd w:val="0"/>
              <w:snapToGrid w:val="0"/>
              <w:spacing w:line="180" w:lineRule="exact"/>
              <w:ind w:left="-42" w:leftChars="-20" w:right="-42" w:rightChars="-20"/>
              <w:jc w:val="center"/>
              <w:textAlignment w:val="center"/>
              <w:rPr>
                <w:rFonts w:ascii="Times New Roman" w:hAnsi="Times New Roman" w:eastAsia="楷体" w:cs="Times New Roman"/>
                <w:b/>
                <w:bCs/>
                <w:kern w:val="0"/>
                <w:sz w:val="18"/>
                <w:szCs w:val="18"/>
              </w:rPr>
            </w:pPr>
            <w:r>
              <w:rPr>
                <w:rFonts w:ascii="Times New Roman" w:hAnsi="Times New Roman" w:eastAsia="楷体" w:cs="Times New Roman"/>
                <w:b/>
                <w:bCs/>
                <w:kern w:val="0"/>
                <w:sz w:val="18"/>
                <w:szCs w:val="18"/>
              </w:rPr>
              <w:t>Sector</w:t>
            </w:r>
          </w:p>
        </w:tc>
        <w:tc>
          <w:tcPr>
            <w:tcW w:w="473" w:type="pct"/>
            <w:vAlign w:val="center"/>
          </w:tcPr>
          <w:p w14:paraId="7F20C1B7">
            <w:pPr>
              <w:widowControl/>
              <w:adjustRightInd w:val="0"/>
              <w:snapToGrid w:val="0"/>
              <w:spacing w:line="180" w:lineRule="exact"/>
              <w:ind w:left="-42" w:leftChars="-20" w:right="-42" w:rightChars="-20"/>
              <w:jc w:val="center"/>
              <w:textAlignment w:val="center"/>
              <w:rPr>
                <w:rFonts w:ascii="Times New Roman" w:hAnsi="Times New Roman" w:eastAsia="楷体" w:cs="Times New Roman"/>
                <w:b/>
                <w:bCs/>
                <w:kern w:val="0"/>
                <w:sz w:val="18"/>
                <w:szCs w:val="18"/>
              </w:rPr>
            </w:pPr>
            <w:r>
              <w:rPr>
                <w:rFonts w:ascii="Times New Roman" w:hAnsi="Times New Roman" w:eastAsia="楷体" w:cs="Times New Roman"/>
                <w:b/>
                <w:bCs/>
                <w:kern w:val="0"/>
                <w:sz w:val="18"/>
                <w:szCs w:val="18"/>
              </w:rPr>
              <w:t>Est. Time</w:t>
            </w:r>
          </w:p>
        </w:tc>
        <w:tc>
          <w:tcPr>
            <w:tcW w:w="599" w:type="pct"/>
            <w:vAlign w:val="center"/>
          </w:tcPr>
          <w:p w14:paraId="1C4D8ACF">
            <w:pPr>
              <w:widowControl/>
              <w:adjustRightInd w:val="0"/>
              <w:snapToGrid w:val="0"/>
              <w:spacing w:line="180" w:lineRule="exact"/>
              <w:ind w:left="-42" w:leftChars="-20" w:right="-42" w:rightChars="-20"/>
              <w:jc w:val="center"/>
              <w:textAlignment w:val="center"/>
              <w:rPr>
                <w:rFonts w:ascii="Times New Roman" w:hAnsi="Times New Roman" w:eastAsia="楷体" w:cs="Times New Roman"/>
                <w:b/>
                <w:bCs/>
                <w:kern w:val="0"/>
                <w:sz w:val="18"/>
                <w:szCs w:val="18"/>
              </w:rPr>
            </w:pPr>
            <w:r>
              <w:rPr>
                <w:rFonts w:ascii="Times New Roman" w:hAnsi="Times New Roman" w:eastAsia="楷体" w:cs="Times New Roman"/>
                <w:b/>
                <w:bCs/>
                <w:kern w:val="0"/>
                <w:sz w:val="18"/>
                <w:szCs w:val="18"/>
              </w:rPr>
              <w:t>Scale (RMB)</w:t>
            </w:r>
          </w:p>
        </w:tc>
        <w:tc>
          <w:tcPr>
            <w:tcW w:w="1172" w:type="pct"/>
            <w:vAlign w:val="center"/>
          </w:tcPr>
          <w:p w14:paraId="4841DEA0">
            <w:pPr>
              <w:widowControl/>
              <w:adjustRightInd w:val="0"/>
              <w:snapToGrid w:val="0"/>
              <w:spacing w:line="180" w:lineRule="exact"/>
              <w:ind w:left="-42" w:leftChars="-20" w:right="-42" w:rightChars="-20"/>
              <w:jc w:val="center"/>
              <w:textAlignment w:val="center"/>
              <w:rPr>
                <w:rFonts w:ascii="Times New Roman" w:hAnsi="Times New Roman" w:eastAsia="楷体" w:cs="Times New Roman"/>
                <w:b/>
                <w:bCs/>
                <w:kern w:val="0"/>
                <w:sz w:val="18"/>
                <w:szCs w:val="18"/>
              </w:rPr>
            </w:pPr>
            <w:r>
              <w:rPr>
                <w:rFonts w:ascii="Times New Roman" w:hAnsi="Times New Roman" w:eastAsia="楷体" w:cs="Times New Roman"/>
                <w:b/>
                <w:bCs/>
                <w:kern w:val="0"/>
                <w:sz w:val="18"/>
                <w:szCs w:val="18"/>
              </w:rPr>
              <w:t>Remarks</w:t>
            </w:r>
          </w:p>
        </w:tc>
      </w:tr>
      <w:tr w14:paraId="6B9A23BD">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jc w:val="center"/>
        </w:trPr>
        <w:tc>
          <w:tcPr>
            <w:tcW w:w="357" w:type="pct"/>
            <w:shd w:val="clear" w:color="auto" w:fill="EAF1DD"/>
            <w:vAlign w:val="center"/>
          </w:tcPr>
          <w:p w14:paraId="24DF91D2">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1</w:t>
            </w:r>
          </w:p>
        </w:tc>
        <w:tc>
          <w:tcPr>
            <w:tcW w:w="1066" w:type="pct"/>
            <w:shd w:val="clear" w:color="auto" w:fill="EAF1DD"/>
            <w:vAlign w:val="center"/>
          </w:tcPr>
          <w:p w14:paraId="03ECB707">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Hunan Emerging Industry Stock Investment Guidance Fund (New Energy Industry Sub-funds)</w:t>
            </w:r>
          </w:p>
        </w:tc>
        <w:tc>
          <w:tcPr>
            <w:tcW w:w="1333" w:type="pct"/>
            <w:shd w:val="clear" w:color="auto" w:fill="EAF1DD"/>
            <w:vAlign w:val="center"/>
          </w:tcPr>
          <w:p w14:paraId="227F6143">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New energy industry</w:t>
            </w:r>
          </w:p>
        </w:tc>
        <w:tc>
          <w:tcPr>
            <w:tcW w:w="473" w:type="pct"/>
            <w:shd w:val="clear" w:color="auto" w:fill="EAF1DD"/>
            <w:vAlign w:val="center"/>
          </w:tcPr>
          <w:p w14:paraId="1D4596E6">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2024</w:t>
            </w:r>
          </w:p>
        </w:tc>
        <w:tc>
          <w:tcPr>
            <w:tcW w:w="599" w:type="pct"/>
            <w:shd w:val="clear" w:color="auto" w:fill="EAF1DD"/>
            <w:vAlign w:val="center"/>
          </w:tcPr>
          <w:p w14:paraId="3F3B4155">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1 billion +</w:t>
            </w:r>
          </w:p>
        </w:tc>
        <w:tc>
          <w:tcPr>
            <w:tcW w:w="1172" w:type="pct"/>
            <w:shd w:val="clear" w:color="auto" w:fill="EAF1DD"/>
            <w:vAlign w:val="center"/>
          </w:tcPr>
          <w:p w14:paraId="1E6E9DA8">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Managed by Hunan Chasing Fund Management.</w:t>
            </w:r>
          </w:p>
        </w:tc>
      </w:tr>
      <w:tr w14:paraId="2D6E42CB">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jc w:val="center"/>
        </w:trPr>
        <w:tc>
          <w:tcPr>
            <w:tcW w:w="357" w:type="pct"/>
            <w:vAlign w:val="center"/>
          </w:tcPr>
          <w:p w14:paraId="786E2D59">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w:t>
            </w:r>
          </w:p>
        </w:tc>
        <w:tc>
          <w:tcPr>
            <w:tcW w:w="1066" w:type="pct"/>
            <w:vAlign w:val="center"/>
          </w:tcPr>
          <w:p w14:paraId="22EA473A">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Changsha Industrial Development Fund of Funds (FOF)</w:t>
            </w:r>
          </w:p>
        </w:tc>
        <w:tc>
          <w:tcPr>
            <w:tcW w:w="1333" w:type="pct"/>
            <w:vAlign w:val="center"/>
          </w:tcPr>
          <w:p w14:paraId="552F4810">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22 industrial and emerging competitive industry chains in Changsha and “1+2+N” advanced manufacturing clusters, including advanced energy-storage materials, new energy equipment, etc.</w:t>
            </w:r>
          </w:p>
        </w:tc>
        <w:tc>
          <w:tcPr>
            <w:tcW w:w="473" w:type="pct"/>
            <w:vAlign w:val="center"/>
          </w:tcPr>
          <w:p w14:paraId="0B3FA7E4">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2023</w:t>
            </w:r>
          </w:p>
        </w:tc>
        <w:tc>
          <w:tcPr>
            <w:tcW w:w="599" w:type="pct"/>
            <w:vAlign w:val="center"/>
          </w:tcPr>
          <w:p w14:paraId="47694EBC">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30 billion +</w:t>
            </w:r>
          </w:p>
        </w:tc>
        <w:tc>
          <w:tcPr>
            <w:tcW w:w="1172" w:type="pct"/>
            <w:vAlign w:val="center"/>
          </w:tcPr>
          <w:p w14:paraId="132F92C6">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Established under the leadership of Changsha Investment Holding Group</w:t>
            </w:r>
          </w:p>
        </w:tc>
      </w:tr>
      <w:tr w14:paraId="43B9A853">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jc w:val="center"/>
        </w:trPr>
        <w:tc>
          <w:tcPr>
            <w:tcW w:w="357" w:type="pct"/>
            <w:shd w:val="clear" w:color="auto" w:fill="EAF1DD"/>
            <w:vAlign w:val="center"/>
          </w:tcPr>
          <w:p w14:paraId="0110049F">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3</w:t>
            </w:r>
          </w:p>
        </w:tc>
        <w:tc>
          <w:tcPr>
            <w:tcW w:w="1066" w:type="pct"/>
            <w:shd w:val="clear" w:color="auto" w:fill="EAF1DD"/>
            <w:vAlign w:val="center"/>
          </w:tcPr>
          <w:p w14:paraId="5F04759B">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Changsha Advanced Energy-Storage Industry Investment Fund</w:t>
            </w:r>
          </w:p>
        </w:tc>
        <w:tc>
          <w:tcPr>
            <w:tcW w:w="1333" w:type="pct"/>
            <w:shd w:val="clear" w:color="auto" w:fill="EAF1DD"/>
            <w:vAlign w:val="center"/>
          </w:tcPr>
          <w:p w14:paraId="6DDD6762">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Advanced energy-storage materials industry</w:t>
            </w:r>
          </w:p>
        </w:tc>
        <w:tc>
          <w:tcPr>
            <w:tcW w:w="473" w:type="pct"/>
            <w:shd w:val="clear" w:color="auto" w:fill="EAF1DD"/>
            <w:vAlign w:val="center"/>
          </w:tcPr>
          <w:p w14:paraId="6B4A8A14">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2022</w:t>
            </w:r>
          </w:p>
        </w:tc>
        <w:tc>
          <w:tcPr>
            <w:tcW w:w="599" w:type="pct"/>
            <w:shd w:val="clear" w:color="auto" w:fill="EAF1DD"/>
            <w:vAlign w:val="center"/>
          </w:tcPr>
          <w:p w14:paraId="3179C22D">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10 billion</w:t>
            </w:r>
          </w:p>
          <w:p w14:paraId="0CFA5012">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(FOF: 6 billion)</w:t>
            </w:r>
          </w:p>
        </w:tc>
        <w:tc>
          <w:tcPr>
            <w:tcW w:w="1172" w:type="pct"/>
            <w:shd w:val="clear" w:color="auto" w:fill="EAF1DD"/>
            <w:vAlign w:val="center"/>
          </w:tcPr>
          <w:p w14:paraId="40989888">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Jointly established by Changsha Investment Holding Group and Hunan Xiangjiang New Area Development Group.</w:t>
            </w:r>
          </w:p>
        </w:tc>
      </w:tr>
      <w:tr w14:paraId="2946A847">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jc w:val="center"/>
        </w:trPr>
        <w:tc>
          <w:tcPr>
            <w:tcW w:w="357" w:type="pct"/>
            <w:vAlign w:val="center"/>
          </w:tcPr>
          <w:p w14:paraId="6243AE31">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4</w:t>
            </w:r>
          </w:p>
        </w:tc>
        <w:tc>
          <w:tcPr>
            <w:tcW w:w="1066" w:type="pct"/>
            <w:vAlign w:val="center"/>
          </w:tcPr>
          <w:p w14:paraId="736F2685">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Zhuzhou Advanced Industrial Cluster Development Fund of Funds (FOF)</w:t>
            </w:r>
          </w:p>
        </w:tc>
        <w:tc>
          <w:tcPr>
            <w:tcW w:w="1333" w:type="pct"/>
            <w:vAlign w:val="center"/>
          </w:tcPr>
          <w:p w14:paraId="44E135AC">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13 iconic industry chains, including new energy power and equipment manufacturing (including automobiles)</w:t>
            </w:r>
          </w:p>
        </w:tc>
        <w:tc>
          <w:tcPr>
            <w:tcW w:w="473" w:type="pct"/>
            <w:vAlign w:val="center"/>
          </w:tcPr>
          <w:p w14:paraId="6811892D">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2022</w:t>
            </w:r>
          </w:p>
        </w:tc>
        <w:tc>
          <w:tcPr>
            <w:tcW w:w="599" w:type="pct"/>
            <w:vAlign w:val="center"/>
          </w:tcPr>
          <w:p w14:paraId="0E10C0F6">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Phase I: 5 billion</w:t>
            </w:r>
          </w:p>
        </w:tc>
        <w:tc>
          <w:tcPr>
            <w:tcW w:w="1172" w:type="pct"/>
            <w:vAlign w:val="center"/>
          </w:tcPr>
          <w:p w14:paraId="24A8DE54">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Led by Zhuzhou Municipal People’s Government, and jointly initiated by Hunan Chasing Financial Holdings and Zhuzhou state-owned enterprises.</w:t>
            </w:r>
          </w:p>
        </w:tc>
      </w:tr>
      <w:tr w14:paraId="01AEA112">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jc w:val="center"/>
        </w:trPr>
        <w:tc>
          <w:tcPr>
            <w:tcW w:w="357" w:type="pct"/>
            <w:shd w:val="clear" w:color="auto" w:fill="EAF1DD"/>
            <w:vAlign w:val="center"/>
          </w:tcPr>
          <w:p w14:paraId="5988202C">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5</w:t>
            </w:r>
          </w:p>
        </w:tc>
        <w:tc>
          <w:tcPr>
            <w:tcW w:w="1066" w:type="pct"/>
            <w:shd w:val="clear" w:color="auto" w:fill="EAF1DD"/>
            <w:vAlign w:val="center"/>
          </w:tcPr>
          <w:p w14:paraId="5CD01848">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Changde Emerging Industries Development Investment Fund</w:t>
            </w:r>
          </w:p>
        </w:tc>
        <w:tc>
          <w:tcPr>
            <w:tcW w:w="1333" w:type="pct"/>
            <w:shd w:val="clear" w:color="auto" w:fill="EAF1DD"/>
            <w:vAlign w:val="center"/>
          </w:tcPr>
          <w:p w14:paraId="1637C728">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New energy, new materials, etc.</w:t>
            </w:r>
          </w:p>
        </w:tc>
        <w:tc>
          <w:tcPr>
            <w:tcW w:w="473" w:type="pct"/>
            <w:shd w:val="clear" w:color="auto" w:fill="EAF1DD"/>
            <w:vAlign w:val="center"/>
          </w:tcPr>
          <w:p w14:paraId="10A5B1AF">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2022</w:t>
            </w:r>
          </w:p>
        </w:tc>
        <w:tc>
          <w:tcPr>
            <w:tcW w:w="599" w:type="pct"/>
            <w:shd w:val="clear" w:color="auto" w:fill="EAF1DD"/>
            <w:vAlign w:val="center"/>
          </w:tcPr>
          <w:p w14:paraId="62175D44">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3 billion</w:t>
            </w:r>
          </w:p>
        </w:tc>
        <w:tc>
          <w:tcPr>
            <w:tcW w:w="1172" w:type="pct"/>
            <w:shd w:val="clear" w:color="auto" w:fill="EAF1DD"/>
            <w:vAlign w:val="center"/>
          </w:tcPr>
          <w:p w14:paraId="58D078D1">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p>
        </w:tc>
      </w:tr>
      <w:tr w14:paraId="65ED66AE">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jc w:val="center"/>
        </w:trPr>
        <w:tc>
          <w:tcPr>
            <w:tcW w:w="357" w:type="pct"/>
            <w:vAlign w:val="center"/>
          </w:tcPr>
          <w:p w14:paraId="3AFB4BF8">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6</w:t>
            </w:r>
          </w:p>
        </w:tc>
        <w:tc>
          <w:tcPr>
            <w:tcW w:w="1066" w:type="pct"/>
            <w:vAlign w:val="center"/>
          </w:tcPr>
          <w:p w14:paraId="683096F3">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Yueyang Caijin Taiyou Industry Investment Fund</w:t>
            </w:r>
          </w:p>
        </w:tc>
        <w:tc>
          <w:tcPr>
            <w:tcW w:w="1333" w:type="pct"/>
            <w:vAlign w:val="center"/>
          </w:tcPr>
          <w:p w14:paraId="344E3258">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Electric energy, equipment manufacturing, etc.</w:t>
            </w:r>
          </w:p>
        </w:tc>
        <w:tc>
          <w:tcPr>
            <w:tcW w:w="473" w:type="pct"/>
            <w:vAlign w:val="center"/>
          </w:tcPr>
          <w:p w14:paraId="280B69B4">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2021</w:t>
            </w:r>
          </w:p>
        </w:tc>
        <w:tc>
          <w:tcPr>
            <w:tcW w:w="599" w:type="pct"/>
            <w:vAlign w:val="center"/>
          </w:tcPr>
          <w:p w14:paraId="21BBCCFB">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Phase I: 500 million</w:t>
            </w:r>
          </w:p>
        </w:tc>
        <w:tc>
          <w:tcPr>
            <w:tcW w:w="1172" w:type="pct"/>
            <w:vAlign w:val="center"/>
          </w:tcPr>
          <w:p w14:paraId="1CD9841B">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Jointly established by Yueyang Caijin Hi-tech Industrial Investment and Yueyang Urban Construction Investment Group.</w:t>
            </w:r>
          </w:p>
        </w:tc>
      </w:tr>
      <w:tr w14:paraId="39C6E46C">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97" w:hRule="atLeast"/>
          <w:jc w:val="center"/>
        </w:trPr>
        <w:tc>
          <w:tcPr>
            <w:tcW w:w="357" w:type="pct"/>
            <w:shd w:val="clear" w:color="auto" w:fill="EAF1DD"/>
            <w:vAlign w:val="center"/>
          </w:tcPr>
          <w:p w14:paraId="6B8BA156">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7</w:t>
            </w:r>
          </w:p>
        </w:tc>
        <w:tc>
          <w:tcPr>
            <w:tcW w:w="1066" w:type="pct"/>
            <w:shd w:val="clear" w:color="auto" w:fill="EAF1DD"/>
            <w:vAlign w:val="center"/>
          </w:tcPr>
          <w:p w14:paraId="4FD57C2A">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Hunan Xiangjiang Shengshi Stock Investment Fund</w:t>
            </w:r>
          </w:p>
        </w:tc>
        <w:tc>
          <w:tcPr>
            <w:tcW w:w="1333" w:type="pct"/>
            <w:shd w:val="clear" w:color="auto" w:fill="EAF1DD"/>
            <w:vAlign w:val="center"/>
          </w:tcPr>
          <w:p w14:paraId="7D25CDE1">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“10+6” industry chains including new energy and environmental protection</w:t>
            </w:r>
          </w:p>
        </w:tc>
        <w:tc>
          <w:tcPr>
            <w:tcW w:w="473" w:type="pct"/>
            <w:shd w:val="clear" w:color="auto" w:fill="EAF1DD"/>
            <w:vAlign w:val="center"/>
          </w:tcPr>
          <w:p w14:paraId="7E421900">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2017</w:t>
            </w:r>
          </w:p>
        </w:tc>
        <w:tc>
          <w:tcPr>
            <w:tcW w:w="599" w:type="pct"/>
            <w:shd w:val="clear" w:color="auto" w:fill="EAF1DD"/>
            <w:vAlign w:val="center"/>
          </w:tcPr>
          <w:p w14:paraId="0B403FC6">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 billion</w:t>
            </w:r>
          </w:p>
        </w:tc>
        <w:tc>
          <w:tcPr>
            <w:tcW w:w="1172" w:type="pct"/>
            <w:shd w:val="clear" w:color="auto" w:fill="EAF1DD"/>
            <w:vAlign w:val="center"/>
          </w:tcPr>
          <w:p w14:paraId="1286918C">
            <w:pPr>
              <w:widowControl/>
              <w:adjustRightInd w:val="0"/>
              <w:snapToGrid w:val="0"/>
              <w:spacing w:line="180" w:lineRule="exact"/>
              <w:ind w:left="-42" w:leftChars="-20" w:right="-42" w:rightChars="-20"/>
              <w:jc w:val="center"/>
              <w:textAlignment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Initiated by Hunan Xiangjiang New Area</w:t>
            </w:r>
          </w:p>
        </w:tc>
      </w:tr>
    </w:tbl>
    <w:p w14:paraId="2BDA3492">
      <w:pPr>
        <w:snapToGrid w:val="0"/>
        <w:spacing w:line="360" w:lineRule="exact"/>
        <w:rPr>
          <w:rFonts w:ascii="Times New Roman" w:hAnsi="Times New Roman" w:eastAsia="仿宋" w:cs="Times New Roman"/>
          <w:bCs/>
          <w:sz w:val="20"/>
          <w:szCs w:val="20"/>
        </w:rPr>
      </w:pPr>
    </w:p>
    <w:p w14:paraId="467F6CB0">
      <w:pPr>
        <w:keepNext/>
        <w:snapToGrid w:val="0"/>
        <w:spacing w:line="360" w:lineRule="exact"/>
        <w:ind w:firstLine="442" w:firstLineChars="200"/>
        <w:outlineLvl w:val="2"/>
        <w:rPr>
          <w:rFonts w:ascii="Times New Roman" w:hAnsi="Times New Roman" w:eastAsia="黑体" w:cs="Times New Roman"/>
          <w:b/>
          <w:sz w:val="22"/>
        </w:rPr>
      </w:pPr>
      <w:bookmarkStart w:id="164" w:name="_Toc163910348"/>
      <w:r>
        <w:rPr>
          <w:rFonts w:ascii="Times New Roman" w:hAnsi="Times New Roman" w:eastAsia="黑体" w:cs="Times New Roman"/>
          <w:b/>
          <w:sz w:val="22"/>
        </w:rPr>
        <w:t xml:space="preserve">(4) Investment </w:t>
      </w:r>
      <w:r>
        <w:rPr>
          <w:rFonts w:ascii="Times New Roman" w:hAnsi="Times New Roman" w:eastAsia="黑体" w:cs="Times New Roman"/>
          <w:b/>
          <w:sz w:val="22"/>
          <w:szCs w:val="24"/>
        </w:rPr>
        <w:t>O</w:t>
      </w:r>
      <w:r>
        <w:rPr>
          <w:rFonts w:hint="eastAsia" w:ascii="Times New Roman" w:hAnsi="Times New Roman" w:eastAsia="黑体" w:cs="Times New Roman"/>
          <w:b/>
          <w:sz w:val="22"/>
          <w:szCs w:val="24"/>
        </w:rPr>
        <w:t>rientation</w:t>
      </w:r>
      <w:r>
        <w:rPr>
          <w:rFonts w:ascii="Times New Roman" w:hAnsi="Times New Roman" w:eastAsia="黑体" w:cs="Times New Roman"/>
          <w:b/>
          <w:sz w:val="22"/>
        </w:rPr>
        <w:t xml:space="preserve"> and Industrial Layout</w:t>
      </w:r>
      <w:bookmarkEnd w:id="164"/>
    </w:p>
    <w:p w14:paraId="2F81E349">
      <w:pPr>
        <w:snapToGrid w:val="0"/>
        <w:spacing w:line="360" w:lineRule="exact"/>
        <w:ind w:firstLine="442" w:firstLineChars="200"/>
        <w:jc w:val="both"/>
        <w:rPr>
          <w:rFonts w:ascii="Times New Roman" w:hAnsi="Times New Roman" w:eastAsia="仿宋" w:cs="Times New Roman"/>
          <w:sz w:val="22"/>
        </w:rPr>
      </w:pPr>
      <w:r>
        <w:rPr>
          <w:rFonts w:ascii="Times New Roman" w:hAnsi="Times New Roman" w:eastAsia="仿宋" w:cs="Times New Roman"/>
          <w:b/>
          <w:bCs/>
          <w:sz w:val="22"/>
        </w:rPr>
        <w:t>New Energy Vehicle</w:t>
      </w:r>
      <w:r>
        <w:rPr>
          <w:rFonts w:ascii="Times New Roman" w:hAnsi="Times New Roman" w:eastAsia="仿宋" w:cs="Times New Roman"/>
          <w:sz w:val="22"/>
        </w:rPr>
        <w:t xml:space="preserve">. Based on HNFTZ Changsha Airport Economic Demonstration Zone and Xiangtan ETDZ, we aim to introduce NEV enterprises, enterprises engaging in three core technologies of new energy vehicles (battery, electric motor, and </w:t>
      </w:r>
      <w:r>
        <w:rPr>
          <w:rFonts w:hint="eastAsia" w:ascii="Times New Roman" w:hAnsi="Times New Roman" w:eastAsia="仿宋" w:cs="Times New Roman"/>
          <w:sz w:val="22"/>
        </w:rPr>
        <w:t>electric controls), and enterprises involved in developing incremental components of intelligent connected vehicles, specifically such as autonomous driving systems, millimeter-wave radar, steer-by-wire chassis, and auto chips.</w:t>
      </w:r>
    </w:p>
    <w:p w14:paraId="796124FF">
      <w:pPr>
        <w:snapToGrid w:val="0"/>
        <w:spacing w:line="360" w:lineRule="exact"/>
        <w:ind w:firstLine="440" w:firstLineChars="200"/>
        <w:jc w:val="distribute"/>
        <w:rPr>
          <w:rFonts w:ascii="Times New Roman" w:hAnsi="Times New Roman" w:eastAsia="仿宋" w:cs="Times New Roman"/>
          <w:sz w:val="22"/>
        </w:rPr>
      </w:pPr>
    </w:p>
    <w:p w14:paraId="327FEE20">
      <w:pPr>
        <w:snapToGrid w:val="0"/>
        <w:spacing w:line="360" w:lineRule="exact"/>
        <w:ind w:firstLine="440" w:firstLineChars="200"/>
        <w:jc w:val="distribute"/>
        <w:rPr>
          <w:rFonts w:ascii="Times New Roman" w:hAnsi="Times New Roman" w:eastAsia="仿宋" w:cs="Times New Roman"/>
          <w:sz w:val="22"/>
        </w:rPr>
      </w:pPr>
    </w:p>
    <w:p w14:paraId="4B686368">
      <w:pPr>
        <w:snapToGrid w:val="0"/>
        <w:spacing w:line="360" w:lineRule="exact"/>
        <w:ind w:firstLine="440" w:firstLineChars="200"/>
        <w:jc w:val="distribute"/>
        <w:rPr>
          <w:rFonts w:ascii="Times New Roman" w:hAnsi="Times New Roman" w:eastAsia="仿宋" w:cs="Times New Roman"/>
          <w:sz w:val="22"/>
        </w:rPr>
      </w:pPr>
    </w:p>
    <w:p w14:paraId="0C9FD60B">
      <w:pPr>
        <w:snapToGrid w:val="0"/>
        <w:spacing w:line="360" w:lineRule="exact"/>
        <w:ind w:firstLine="440" w:firstLineChars="200"/>
        <w:jc w:val="distribute"/>
        <w:rPr>
          <w:rFonts w:ascii="Times New Roman" w:hAnsi="Times New Roman" w:eastAsia="仿宋" w:cs="Times New Roman"/>
          <w:sz w:val="22"/>
        </w:rPr>
      </w:pPr>
    </w:p>
    <w:p w14:paraId="4962D935">
      <w:pPr>
        <w:snapToGrid w:val="0"/>
        <w:spacing w:line="360" w:lineRule="exact"/>
        <w:ind w:firstLine="440" w:firstLineChars="200"/>
        <w:jc w:val="distribute"/>
        <w:rPr>
          <w:rFonts w:ascii="Times New Roman" w:hAnsi="Times New Roman" w:eastAsia="仿宋" w:cs="Times New Roman"/>
          <w:sz w:val="22"/>
        </w:rPr>
      </w:pPr>
    </w:p>
    <w:p w14:paraId="0F86C50C">
      <w:pPr>
        <w:snapToGrid w:val="0"/>
        <w:spacing w:line="360" w:lineRule="exact"/>
        <w:ind w:firstLine="440" w:firstLineChars="200"/>
        <w:jc w:val="distribute"/>
        <w:rPr>
          <w:rFonts w:ascii="Times New Roman" w:hAnsi="Times New Roman" w:eastAsia="仿宋" w:cs="Times New Roman"/>
          <w:sz w:val="22"/>
        </w:rPr>
      </w:pPr>
    </w:p>
    <w:p w14:paraId="15DDFCED">
      <w:pPr>
        <w:snapToGrid w:val="0"/>
        <w:spacing w:line="360" w:lineRule="exact"/>
        <w:ind w:firstLine="440" w:firstLineChars="200"/>
        <w:jc w:val="distribute"/>
        <w:rPr>
          <w:rFonts w:ascii="Times New Roman" w:hAnsi="Times New Roman" w:eastAsia="仿宋" w:cs="Times New Roman"/>
          <w:sz w:val="22"/>
        </w:rPr>
      </w:pPr>
    </w:p>
    <w:p w14:paraId="26579CAF">
      <w:pPr>
        <w:snapToGrid w:val="0"/>
        <w:spacing w:line="360" w:lineRule="exact"/>
        <w:ind w:firstLine="440" w:firstLineChars="200"/>
        <w:jc w:val="distribute"/>
        <w:rPr>
          <w:rFonts w:ascii="Times New Roman" w:hAnsi="Times New Roman" w:eastAsia="仿宋" w:cs="Times New Roman"/>
          <w:sz w:val="22"/>
        </w:rPr>
      </w:pPr>
    </w:p>
    <w:p w14:paraId="044486EA">
      <w:pPr>
        <w:snapToGrid w:val="0"/>
        <w:spacing w:line="360" w:lineRule="exact"/>
        <w:ind w:firstLine="440" w:firstLineChars="200"/>
        <w:jc w:val="distribute"/>
        <w:rPr>
          <w:rFonts w:ascii="Times New Roman" w:hAnsi="Times New Roman" w:eastAsia="仿宋" w:cs="Times New Roman"/>
          <w:sz w:val="22"/>
        </w:rPr>
      </w:pPr>
    </w:p>
    <w:p w14:paraId="1ACA19BD">
      <w:pPr>
        <w:snapToGrid w:val="0"/>
        <w:spacing w:line="360" w:lineRule="exact"/>
        <w:ind w:firstLine="440" w:firstLineChars="200"/>
        <w:jc w:val="distribute"/>
        <w:rPr>
          <w:rFonts w:ascii="Times New Roman" w:hAnsi="Times New Roman" w:eastAsia="仿宋" w:cs="Times New Roman"/>
          <w:sz w:val="22"/>
        </w:rPr>
      </w:pPr>
    </w:p>
    <w:p w14:paraId="42951C0C">
      <w:pPr>
        <w:snapToGrid w:val="0"/>
        <w:spacing w:line="360" w:lineRule="exact"/>
        <w:ind w:firstLine="440" w:firstLineChars="200"/>
        <w:jc w:val="distribute"/>
        <w:rPr>
          <w:rFonts w:ascii="Times New Roman" w:hAnsi="Times New Roman" w:eastAsia="仿宋" w:cs="Times New Roman"/>
          <w:sz w:val="22"/>
        </w:rPr>
      </w:pPr>
    </w:p>
    <w:p w14:paraId="2C594981">
      <w:pPr>
        <w:snapToGrid w:val="0"/>
        <w:spacing w:line="360" w:lineRule="exact"/>
        <w:ind w:firstLine="440" w:firstLineChars="200"/>
        <w:jc w:val="distribute"/>
        <w:rPr>
          <w:rFonts w:ascii="Times New Roman" w:hAnsi="Times New Roman" w:eastAsia="仿宋" w:cs="Times New Roman"/>
          <w:sz w:val="22"/>
        </w:rPr>
      </w:pPr>
      <w:r>
        <w:rPr>
          <w:rFonts w:hint="eastAsia" w:ascii="Times New Roman" w:hAnsi="Times New Roman" w:eastAsia="仿宋" w:cs="Times New Roman"/>
          <w:sz w:val="22"/>
        </w:rPr>
        <w:drawing>
          <wp:anchor distT="0" distB="0" distL="114300" distR="114300" simplePos="0" relativeHeight="251704320" behindDoc="0" locked="0" layoutInCell="1" allowOverlap="1">
            <wp:simplePos x="0" y="0"/>
            <wp:positionH relativeFrom="column">
              <wp:posOffset>-857250</wp:posOffset>
            </wp:positionH>
            <wp:positionV relativeFrom="paragraph">
              <wp:posOffset>0</wp:posOffset>
            </wp:positionV>
            <wp:extent cx="5581650" cy="3315970"/>
            <wp:effectExtent l="0" t="1123950" r="0" b="1141730"/>
            <wp:wrapNone/>
            <wp:docPr id="11827332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29" name="图片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rot="16200000">
                      <a:off x="0" y="0"/>
                      <a:ext cx="5581650" cy="3315970"/>
                    </a:xfrm>
                    <a:prstGeom prst="rect">
                      <a:avLst/>
                    </a:prstGeom>
                    <a:noFill/>
                    <a:ln>
                      <a:noFill/>
                    </a:ln>
                  </pic:spPr>
                </pic:pic>
              </a:graphicData>
            </a:graphic>
          </wp:anchor>
        </w:drawing>
      </w:r>
    </w:p>
    <w:p w14:paraId="48EEBEA7">
      <w:pPr>
        <w:snapToGrid w:val="0"/>
        <w:spacing w:line="360" w:lineRule="exact"/>
        <w:ind w:firstLine="440" w:firstLineChars="200"/>
        <w:jc w:val="distribute"/>
        <w:rPr>
          <w:rFonts w:ascii="Times New Roman" w:hAnsi="Times New Roman" w:eastAsia="仿宋" w:cs="Times New Roman"/>
          <w:sz w:val="22"/>
        </w:rPr>
      </w:pPr>
    </w:p>
    <w:p w14:paraId="16C311B1">
      <w:pPr>
        <w:snapToGrid w:val="0"/>
        <w:spacing w:line="360" w:lineRule="exact"/>
        <w:ind w:firstLine="440" w:firstLineChars="200"/>
        <w:jc w:val="distribute"/>
        <w:rPr>
          <w:rFonts w:ascii="Times New Roman" w:hAnsi="Times New Roman" w:eastAsia="仿宋" w:cs="Times New Roman"/>
          <w:sz w:val="22"/>
        </w:rPr>
      </w:pPr>
    </w:p>
    <w:p w14:paraId="0D174F78">
      <w:pPr>
        <w:snapToGrid w:val="0"/>
        <w:spacing w:line="360" w:lineRule="exact"/>
        <w:ind w:firstLine="440" w:firstLineChars="200"/>
        <w:jc w:val="distribute"/>
        <w:rPr>
          <w:rFonts w:ascii="Times New Roman" w:hAnsi="Times New Roman" w:eastAsia="仿宋" w:cs="Times New Roman"/>
          <w:sz w:val="22"/>
        </w:rPr>
      </w:pPr>
    </w:p>
    <w:p w14:paraId="119549DA">
      <w:pPr>
        <w:snapToGrid w:val="0"/>
        <w:spacing w:line="360" w:lineRule="exact"/>
        <w:ind w:firstLine="440" w:firstLineChars="200"/>
        <w:jc w:val="distribute"/>
        <w:rPr>
          <w:rFonts w:ascii="Times New Roman" w:hAnsi="Times New Roman" w:eastAsia="仿宋" w:cs="Times New Roman"/>
          <w:sz w:val="22"/>
        </w:rPr>
      </w:pPr>
    </w:p>
    <w:p w14:paraId="71A03BAE">
      <w:pPr>
        <w:snapToGrid w:val="0"/>
        <w:spacing w:line="360" w:lineRule="exact"/>
        <w:ind w:firstLine="440" w:firstLineChars="200"/>
        <w:jc w:val="distribute"/>
        <w:rPr>
          <w:rFonts w:ascii="Times New Roman" w:hAnsi="Times New Roman" w:eastAsia="仿宋" w:cs="Times New Roman"/>
          <w:sz w:val="22"/>
        </w:rPr>
      </w:pPr>
    </w:p>
    <w:p w14:paraId="71BEF335">
      <w:pPr>
        <w:snapToGrid w:val="0"/>
        <w:spacing w:line="360" w:lineRule="exact"/>
        <w:ind w:firstLine="440" w:firstLineChars="200"/>
        <w:jc w:val="distribute"/>
        <w:rPr>
          <w:rFonts w:ascii="Times New Roman" w:hAnsi="Times New Roman" w:eastAsia="仿宋" w:cs="Times New Roman"/>
          <w:sz w:val="22"/>
        </w:rPr>
      </w:pPr>
    </w:p>
    <w:p w14:paraId="1F5124B1">
      <w:pPr>
        <w:snapToGrid w:val="0"/>
        <w:spacing w:line="360" w:lineRule="exact"/>
        <w:ind w:firstLine="440" w:firstLineChars="200"/>
        <w:jc w:val="distribute"/>
        <w:rPr>
          <w:rFonts w:ascii="Times New Roman" w:hAnsi="Times New Roman" w:eastAsia="仿宋" w:cs="Times New Roman"/>
          <w:sz w:val="22"/>
        </w:rPr>
      </w:pPr>
    </w:p>
    <w:p w14:paraId="27817934">
      <w:pPr>
        <w:snapToGrid w:val="0"/>
        <w:spacing w:line="360" w:lineRule="exact"/>
        <w:ind w:firstLine="440" w:firstLineChars="200"/>
        <w:jc w:val="distribute"/>
        <w:rPr>
          <w:rFonts w:ascii="Times New Roman" w:hAnsi="Times New Roman" w:eastAsia="仿宋" w:cs="Times New Roman"/>
          <w:sz w:val="22"/>
        </w:rPr>
      </w:pPr>
    </w:p>
    <w:p w14:paraId="47FE3244">
      <w:pPr>
        <w:snapToGrid w:val="0"/>
        <w:spacing w:line="360" w:lineRule="exact"/>
        <w:ind w:firstLine="440" w:firstLineChars="200"/>
        <w:jc w:val="distribute"/>
        <w:rPr>
          <w:rFonts w:ascii="Times New Roman" w:hAnsi="Times New Roman" w:eastAsia="仿宋" w:cs="Times New Roman"/>
          <w:sz w:val="22"/>
        </w:rPr>
      </w:pPr>
    </w:p>
    <w:p w14:paraId="70B8F630">
      <w:pPr>
        <w:snapToGrid w:val="0"/>
        <w:spacing w:line="360" w:lineRule="exact"/>
        <w:ind w:firstLine="440" w:firstLineChars="200"/>
        <w:jc w:val="distribute"/>
        <w:rPr>
          <w:rFonts w:ascii="Times New Roman" w:hAnsi="Times New Roman" w:eastAsia="仿宋" w:cs="Times New Roman"/>
          <w:sz w:val="22"/>
        </w:rPr>
      </w:pPr>
    </w:p>
    <w:p w14:paraId="21A66DF6">
      <w:pPr>
        <w:snapToGrid w:val="0"/>
        <w:spacing w:line="360" w:lineRule="exact"/>
        <w:ind w:firstLine="440" w:firstLineChars="200"/>
        <w:jc w:val="distribute"/>
        <w:rPr>
          <w:rFonts w:ascii="Times New Roman" w:hAnsi="Times New Roman" w:eastAsia="仿宋" w:cs="Times New Roman"/>
          <w:sz w:val="22"/>
        </w:rPr>
      </w:pPr>
    </w:p>
    <w:p w14:paraId="1BEE3E82">
      <w:pPr>
        <w:snapToGrid w:val="0"/>
        <w:spacing w:line="360" w:lineRule="exact"/>
        <w:ind w:firstLine="440" w:firstLineChars="200"/>
        <w:jc w:val="distribute"/>
        <w:rPr>
          <w:rFonts w:ascii="Times New Roman" w:hAnsi="Times New Roman" w:eastAsia="仿宋" w:cs="Times New Roman"/>
          <w:sz w:val="22"/>
        </w:rPr>
      </w:pPr>
    </w:p>
    <w:p w14:paraId="24FB8648">
      <w:pPr>
        <w:snapToGrid w:val="0"/>
        <w:spacing w:line="360" w:lineRule="exact"/>
        <w:ind w:firstLine="440" w:firstLineChars="200"/>
        <w:jc w:val="distribute"/>
        <w:rPr>
          <w:rFonts w:ascii="Times New Roman" w:hAnsi="Times New Roman" w:eastAsia="仿宋" w:cs="Times New Roman"/>
          <w:sz w:val="22"/>
        </w:rPr>
      </w:pPr>
    </w:p>
    <w:p w14:paraId="6AD08268">
      <w:pPr>
        <w:snapToGrid w:val="0"/>
        <w:spacing w:line="360" w:lineRule="exact"/>
        <w:ind w:firstLine="440" w:firstLineChars="200"/>
        <w:jc w:val="distribute"/>
        <w:rPr>
          <w:rFonts w:ascii="Times New Roman" w:hAnsi="Times New Roman" w:eastAsia="仿宋" w:cs="Times New Roman"/>
          <w:sz w:val="22"/>
        </w:rPr>
      </w:pPr>
    </w:p>
    <w:p w14:paraId="7BD538A1">
      <w:pPr>
        <w:snapToGrid w:val="0"/>
        <w:spacing w:line="360" w:lineRule="exact"/>
        <w:ind w:firstLine="440" w:firstLineChars="200"/>
        <w:jc w:val="distribute"/>
        <w:rPr>
          <w:rFonts w:ascii="Times New Roman" w:hAnsi="Times New Roman" w:eastAsia="仿宋" w:cs="Times New Roman"/>
          <w:sz w:val="22"/>
        </w:rPr>
      </w:pPr>
    </w:p>
    <w:p w14:paraId="69809973">
      <w:pPr>
        <w:snapToGrid w:val="0"/>
        <w:spacing w:line="360" w:lineRule="exact"/>
        <w:ind w:firstLine="440" w:firstLineChars="200"/>
        <w:jc w:val="distribute"/>
        <w:rPr>
          <w:rFonts w:ascii="Times New Roman" w:hAnsi="Times New Roman" w:eastAsia="仿宋" w:cs="Times New Roman"/>
          <w:sz w:val="22"/>
        </w:rPr>
      </w:pPr>
    </w:p>
    <w:p w14:paraId="4956D92C">
      <w:pPr>
        <w:snapToGrid w:val="0"/>
        <w:spacing w:line="360" w:lineRule="exact"/>
        <w:ind w:firstLine="440" w:firstLineChars="200"/>
        <w:jc w:val="distribute"/>
        <w:rPr>
          <w:rFonts w:ascii="Times New Roman" w:hAnsi="Times New Roman" w:eastAsia="仿宋" w:cs="Times New Roman"/>
          <w:sz w:val="22"/>
        </w:rPr>
      </w:pPr>
    </w:p>
    <w:p w14:paraId="14111641">
      <w:pPr>
        <w:snapToGrid w:val="0"/>
        <w:spacing w:line="360" w:lineRule="exact"/>
        <w:ind w:firstLine="440" w:firstLineChars="200"/>
        <w:jc w:val="distribute"/>
        <w:rPr>
          <w:rFonts w:ascii="Times New Roman" w:hAnsi="Times New Roman" w:eastAsia="仿宋" w:cs="Times New Roman"/>
          <w:sz w:val="22"/>
        </w:rPr>
      </w:pPr>
    </w:p>
    <w:p w14:paraId="2C506B3A">
      <w:pPr>
        <w:snapToGrid w:val="0"/>
        <w:spacing w:line="360" w:lineRule="exact"/>
        <w:rPr>
          <w:rFonts w:ascii="Times New Roman" w:hAnsi="Times New Roman" w:eastAsia="仿宋" w:cs="Times New Roman"/>
          <w:sz w:val="22"/>
        </w:rPr>
      </w:pPr>
    </w:p>
    <w:p w14:paraId="2DF2F8FD">
      <w:pPr>
        <w:snapToGrid w:val="0"/>
        <w:spacing w:line="360" w:lineRule="exact"/>
        <w:ind w:firstLine="442" w:firstLineChars="200"/>
        <w:rPr>
          <w:rFonts w:ascii="Times New Roman" w:hAnsi="Times New Roman" w:eastAsia="仿宋" w:cs="Times New Roman"/>
          <w:sz w:val="22"/>
        </w:rPr>
      </w:pPr>
      <w:r>
        <w:rPr>
          <w:rFonts w:ascii="Times New Roman" w:hAnsi="Times New Roman" w:eastAsia="仿宋" w:cs="Times New Roman"/>
          <w:b/>
          <w:sz w:val="22"/>
        </w:rPr>
        <w:t xml:space="preserve">New Energy Equipment. </w:t>
      </w:r>
      <w:r>
        <w:rPr>
          <w:rFonts w:ascii="Times New Roman" w:hAnsi="Times New Roman" w:eastAsia="仿宋" w:cs="Times New Roman"/>
          <w:sz w:val="22"/>
        </w:rPr>
        <w:t>Based on Xiangtan HTZ and Zhuzhou HTZ, we aim to develop the wind power and PV modules manufacturing industry by introducing enterprises engaging in the production of wind power equipment in low wind speed hills, offshore wind power equipment, high-power wind turbines, megawatt-scale blades, and other components or complete PV modules. Based on Hengnan HTZ, Xiangjiang New Area, Xiangxiang ETDZ, etc., we aim to develop power transmission and transformation equipment industry by introducing enterprises engaging in the ultra-high-voltage (UHV) transformers, smart meters, the electric energy data acquisition terminal, and the power quality monitoring (PQM) system.Based on Yueyang Green Chemical HTZ and Hengyang Baisha Green Island Hi-Tech Zone, we work to develop hydrogen energy, electromagnetic energy, and nuclear energy by introducing enterprises engaging the following industries: the complete industry chain of hydrogen production, storage, refueling, and utilization; the industrialization of electromagnetic energy, electric controls, electric motors, the nuclear industry equipment, nuclear facility emergency safety technology and equipment, and intelligent nuclear-driven integrated energy systems.</w:t>
      </w:r>
    </w:p>
    <w:p w14:paraId="2C89573E">
      <w:pPr>
        <w:snapToGrid w:val="0"/>
        <w:spacing w:line="360" w:lineRule="exact"/>
        <w:ind w:firstLine="442" w:firstLineChars="200"/>
        <w:rPr>
          <w:rFonts w:ascii="Times New Roman" w:hAnsi="Times New Roman" w:eastAsia="仿宋" w:cs="Times New Roman"/>
          <w:sz w:val="22"/>
        </w:rPr>
      </w:pPr>
      <w:r>
        <w:rPr>
          <w:rFonts w:ascii="Times New Roman" w:hAnsi="Times New Roman" w:eastAsia="仿宋" w:cs="Times New Roman"/>
          <w:b/>
          <w:bCs/>
          <w:sz w:val="22"/>
        </w:rPr>
        <w:t>New Energy-storage Industry.</w:t>
      </w:r>
      <w:r>
        <w:rPr>
          <w:rFonts w:ascii="Times New Roman" w:hAnsi="Times New Roman" w:eastAsia="仿宋" w:cs="Times New Roman"/>
          <w:sz w:val="22"/>
        </w:rPr>
        <w:t xml:space="preserve"> We aim to consolidate and expand the new energy-storage industry in Ningxiang HTZ, Changde ETDZ, and Ningyuan HTZ. To that end, we work to introduce enterprises engaging in battery-related industries including solid-state batteries (SSB), vanadium redox flow battery (VRFB), sodium-ion batteries, commercial and household energy storage batteries, lithium mining and beneficiation, cathodes and anodes for lithium batteries, separators, electrolytes, battery cells, and recycling of used batteries.</w:t>
      </w:r>
    </w:p>
    <w:p w14:paraId="0CA148DA">
      <w:pPr>
        <w:snapToGrid w:val="0"/>
        <w:spacing w:line="360" w:lineRule="exact"/>
        <w:ind w:firstLine="400" w:firstLineChars="200"/>
        <w:rPr>
          <w:rFonts w:ascii="Times New Roman" w:hAnsi="Times New Roman" w:eastAsia="仿宋" w:cs="Times New Roman"/>
          <w:sz w:val="20"/>
          <w:szCs w:val="20"/>
        </w:rPr>
      </w:pPr>
    </w:p>
    <w:bookmarkEnd w:id="135"/>
    <w:p w14:paraId="384F6ED7">
      <w:pPr>
        <w:snapToGrid w:val="0"/>
        <w:spacing w:line="360" w:lineRule="exact"/>
        <w:ind w:firstLine="400" w:firstLineChars="200"/>
        <w:rPr>
          <w:rFonts w:ascii="Times New Roman" w:hAnsi="Times New Roman" w:eastAsia="仿宋" w:cs="Times New Roman"/>
          <w:sz w:val="20"/>
          <w:szCs w:val="20"/>
        </w:rPr>
        <w:sectPr>
          <w:headerReference r:id="rId20" w:type="default"/>
          <w:pgSz w:w="8391" w:h="11907"/>
          <w:pgMar w:top="1440" w:right="1080" w:bottom="1440" w:left="1080" w:header="680" w:footer="992" w:gutter="0"/>
          <w:cols w:space="720" w:num="1"/>
          <w:docGrid w:type="lines" w:linePitch="381" w:charSpace="0"/>
        </w:sectPr>
      </w:pPr>
    </w:p>
    <w:p w14:paraId="462C2DC2">
      <w:pPr>
        <w:keepNext/>
        <w:snapToGrid w:val="0"/>
        <w:spacing w:afterLines="50" w:line="360" w:lineRule="exact"/>
        <w:jc w:val="center"/>
        <w:outlineLvl w:val="1"/>
        <w:rPr>
          <w:rFonts w:ascii="Times New Roman" w:hAnsi="Times New Roman" w:eastAsia="仿宋" w:cs="Times New Roman"/>
          <w:b/>
          <w:bCs/>
          <w:sz w:val="22"/>
        </w:rPr>
      </w:pPr>
      <w:bookmarkStart w:id="165" w:name="_Toc163910349"/>
      <w:bookmarkStart w:id="166" w:name="_Hlk163327454"/>
      <w:r>
        <w:rPr>
          <w:rFonts w:hint="eastAsia" w:ascii="Times New Roman" w:hAnsi="Times New Roman" w:eastAsia="仿宋" w:cs="Times New Roman"/>
          <w:b/>
          <w:bCs/>
          <w:sz w:val="22"/>
        </w:rPr>
        <w:t>11</w:t>
      </w:r>
      <w:r>
        <w:rPr>
          <w:rFonts w:ascii="Times New Roman" w:hAnsi="Times New Roman" w:eastAsia="仿宋" w:cs="Times New Roman"/>
          <w:b/>
          <w:bCs/>
          <w:sz w:val="22"/>
        </w:rPr>
        <w:t>. Healthcare</w:t>
      </w:r>
      <w:bookmarkEnd w:id="165"/>
    </w:p>
    <w:p w14:paraId="65BB2F5F">
      <w:pPr>
        <w:keepNext/>
        <w:snapToGrid w:val="0"/>
        <w:spacing w:line="360" w:lineRule="exact"/>
        <w:ind w:firstLine="442" w:firstLineChars="200"/>
        <w:outlineLvl w:val="2"/>
        <w:rPr>
          <w:rFonts w:ascii="Times New Roman" w:hAnsi="Times New Roman" w:eastAsia="黑体" w:cs="Times New Roman"/>
          <w:b/>
          <w:sz w:val="22"/>
        </w:rPr>
      </w:pPr>
      <w:bookmarkStart w:id="167" w:name="_Toc163910350"/>
      <w:r>
        <w:rPr>
          <w:rFonts w:ascii="Times New Roman" w:hAnsi="Times New Roman" w:eastAsia="黑体" w:cs="Times New Roman"/>
          <w:b/>
          <w:sz w:val="22"/>
        </w:rPr>
        <w:t>(1) Development Status</w:t>
      </w:r>
      <w:bookmarkEnd w:id="167"/>
    </w:p>
    <w:p w14:paraId="08B65148">
      <w:pPr>
        <w:snapToGrid w:val="0"/>
        <w:spacing w:line="360" w:lineRule="exact"/>
        <w:ind w:firstLine="440" w:firstLineChars="200"/>
        <w:rPr>
          <w:rFonts w:hint="eastAsia" w:ascii="Times New Roman" w:hAnsi="Times New Roman" w:eastAsia="仿宋" w:cs="Times New Roman"/>
          <w:sz w:val="22"/>
        </w:rPr>
      </w:pPr>
      <w:r>
        <w:rPr>
          <w:rFonts w:hint="eastAsia" w:ascii="Times New Roman" w:hAnsi="Times New Roman" w:eastAsia="仿宋" w:cs="Times New Roman"/>
          <w:sz w:val="22"/>
        </w:rPr>
        <w:t>The industry achieved revenue of 339.75 billion yuan in 2024, representing a year-on-year increase of 3.5%.Hunan is home to 21 listed companies in this sector. It holds 9,899 Class II and III medical device registration certificates, ranking third nationally in terms of quantity. The province boasts 4,467 varieties of traditional Chinese medicine (TCM) resources, ranking fourth in China and first in Central China.The number of biomedical industry parks in Hunan ranks fifth nationally and first in Central China. The province has established a sound scientific research and innovation system, comprising 463 national and provincial-level innovation platforms, 37 academician and postdoctoral workstations, 22 drug research institutions, 3 national clinical medicine research centers, and 32 national drug clinical trial institutions.</w:t>
      </w:r>
    </w:p>
    <w:p w14:paraId="2B64047E">
      <w:pPr>
        <w:snapToGrid w:val="0"/>
        <w:spacing w:line="360" w:lineRule="exact"/>
        <w:ind w:firstLine="440" w:firstLineChars="200"/>
        <w:rPr>
          <w:rFonts w:hint="eastAsia" w:ascii="Times New Roman" w:hAnsi="Times New Roman" w:eastAsia="仿宋" w:cs="Times New Roman"/>
          <w:sz w:val="22"/>
        </w:rPr>
      </w:pPr>
      <w:r>
        <w:rPr>
          <w:rFonts w:hint="eastAsia" w:ascii="Times New Roman" w:hAnsi="Times New Roman" w:eastAsia="仿宋" w:cs="Times New Roman"/>
          <w:sz w:val="22"/>
        </w:rPr>
        <w:t>AIER Eye Hospital Group has emerged as the world’s largest and most popular eye-care service provider, earning the distinction of performing the most ICL surgeries for nine consecutive years globally. Both LBX Pharmacy and Yifeng Pharmacy have secured positions among the top five pharmaceutical distributors nationwide; Qianjin Pharmaceutical, Jiuzhitang, Tiandi Hengyi Pharmaceutical, Fangsheng Pharmaceutical, and Hunan Hansen Pharmaceutical. have all made to the list of China’s top 100 TCM enterprises.</w:t>
      </w:r>
    </w:p>
    <w:p w14:paraId="6C512510">
      <w:pPr>
        <w:snapToGrid w:val="0"/>
        <w:spacing w:beforeLines="50"/>
        <w:jc w:val="center"/>
        <w:rPr>
          <w:rFonts w:ascii="Times New Roman" w:hAnsi="Times New Roman" w:eastAsia="楷体" w:cs="Times New Roman"/>
          <w:b/>
          <w:sz w:val="15"/>
          <w:szCs w:val="21"/>
        </w:rPr>
      </w:pPr>
      <w:bookmarkStart w:id="168" w:name="_Toc127869202"/>
      <w:bookmarkStart w:id="169" w:name="_Toc127352188"/>
      <w:bookmarkStart w:id="170" w:name="_Toc128033739"/>
      <w:bookmarkStart w:id="171" w:name="_Toc127352139"/>
      <w:r>
        <w:drawing>
          <wp:inline distT="0" distB="0" distL="0" distR="0">
            <wp:extent cx="4029710" cy="2606675"/>
            <wp:effectExtent l="0" t="0" r="889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4031429" cy="2607690"/>
                    </a:xfrm>
                    <a:prstGeom prst="rect">
                      <a:avLst/>
                    </a:prstGeom>
                    <a:noFill/>
                    <a:ln>
                      <a:noFill/>
                    </a:ln>
                  </pic:spPr>
                </pic:pic>
              </a:graphicData>
            </a:graphic>
          </wp:inline>
        </w:drawing>
      </w:r>
    </w:p>
    <w:p w14:paraId="420CD3BD">
      <w:pPr>
        <w:adjustRightInd w:val="0"/>
        <w:snapToGrid w:val="0"/>
        <w:spacing w:beforeLines="20"/>
        <w:jc w:val="center"/>
        <w:rPr>
          <w:rFonts w:ascii="Times New Roman" w:hAnsi="Times New Roman" w:eastAsia="黑体" w:cs="Times New Roman"/>
          <w:sz w:val="18"/>
          <w:szCs w:val="21"/>
        </w:rPr>
      </w:pPr>
      <w:r>
        <w:rPr>
          <w:rFonts w:ascii="Times New Roman" w:hAnsi="Times New Roman" w:eastAsia="黑体" w:cs="Times New Roman"/>
          <w:sz w:val="18"/>
          <w:szCs w:val="21"/>
        </w:rPr>
        <w:t>Leading enterprises in the healthcare industry</w:t>
      </w:r>
    </w:p>
    <w:bookmarkEnd w:id="168"/>
    <w:bookmarkEnd w:id="169"/>
    <w:bookmarkEnd w:id="170"/>
    <w:bookmarkEnd w:id="171"/>
    <w:p w14:paraId="7C7638D7">
      <w:pPr>
        <w:keepNext/>
        <w:snapToGrid w:val="0"/>
        <w:spacing w:line="360" w:lineRule="exact"/>
        <w:ind w:firstLine="442" w:firstLineChars="200"/>
        <w:outlineLvl w:val="2"/>
        <w:rPr>
          <w:rFonts w:ascii="Times New Roman" w:hAnsi="Times New Roman" w:eastAsia="黑体" w:cs="Times New Roman"/>
          <w:b/>
          <w:sz w:val="22"/>
        </w:rPr>
      </w:pPr>
      <w:bookmarkStart w:id="172" w:name="_Toc163910351"/>
      <w:r>
        <w:rPr>
          <w:rFonts w:ascii="Times New Roman" w:hAnsi="Times New Roman" w:eastAsia="黑体" w:cs="Times New Roman"/>
          <w:b/>
          <w:sz w:val="22"/>
        </w:rPr>
        <w:t>(2) Development Target</w:t>
      </w:r>
      <w:bookmarkEnd w:id="172"/>
    </w:p>
    <w:p w14:paraId="3FE8D8B8">
      <w:pPr>
        <w:snapToGrid w:val="0"/>
        <w:spacing w:line="36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By 2027, the added value of the healthcare industry is projected to reach 420 billion yuan. To meet that end, we aim to establish a nationally renowned medical and healthcare service center, a hub for health consumption, and a convergence zone for the integrated development of the healthcare industries. We also work to build a national medical center by fostering at least six enterprises with an annual output of 10 billion yuan and 2-5 TCM enterprises with an annual output value exceeding 3 billion yuan and developing 5-10 major TCM varieties with an annual output value surpassing 1 billion yuan.</w:t>
      </w:r>
    </w:p>
    <w:bookmarkEnd w:id="166"/>
    <w:p w14:paraId="613F8DC3">
      <w:pPr>
        <w:snapToGrid w:val="0"/>
        <w:spacing w:line="360" w:lineRule="exact"/>
        <w:ind w:firstLine="402" w:firstLineChars="200"/>
        <w:outlineLvl w:val="2"/>
        <w:rPr>
          <w:rFonts w:ascii="Times New Roman" w:hAnsi="Times New Roman" w:eastAsia="黑体" w:cs="Times New Roman"/>
          <w:b/>
          <w:sz w:val="20"/>
          <w:szCs w:val="20"/>
        </w:rPr>
      </w:pPr>
      <w:bookmarkStart w:id="173" w:name="_Toc130669173"/>
      <w:bookmarkStart w:id="174" w:name="_Toc130837152"/>
      <w:bookmarkStart w:id="175" w:name="_Toc129010596"/>
      <w:bookmarkStart w:id="176" w:name="_Toc129701390"/>
      <w:bookmarkStart w:id="177" w:name="_Toc127352142"/>
      <w:bookmarkStart w:id="178" w:name="_Toc127352191"/>
      <w:bookmarkStart w:id="179" w:name="_Toc128041772"/>
      <w:bookmarkStart w:id="180" w:name="_Toc12279"/>
      <w:bookmarkStart w:id="181" w:name="_Toc130838049"/>
      <w:bookmarkStart w:id="182" w:name="_Toc131156304"/>
      <w:bookmarkStart w:id="183" w:name="_Toc128033740"/>
      <w:bookmarkStart w:id="184" w:name="_Toc127869203"/>
      <w:bookmarkStart w:id="185" w:name="_Toc163910352"/>
      <w:r>
        <w:rPr>
          <w:rFonts w:ascii="Times New Roman" w:hAnsi="Times New Roman" w:eastAsia="黑体" w:cs="Times New Roman"/>
          <w:b/>
          <w:sz w:val="20"/>
          <w:szCs w:val="20"/>
        </w:rPr>
        <w:t>(3) Polic</w:t>
      </w:r>
      <w:bookmarkEnd w:id="173"/>
      <w:bookmarkEnd w:id="174"/>
      <w:bookmarkEnd w:id="175"/>
      <w:bookmarkEnd w:id="176"/>
      <w:bookmarkEnd w:id="177"/>
      <w:bookmarkEnd w:id="178"/>
      <w:bookmarkEnd w:id="179"/>
      <w:bookmarkEnd w:id="180"/>
      <w:bookmarkEnd w:id="181"/>
      <w:bookmarkEnd w:id="182"/>
      <w:bookmarkEnd w:id="183"/>
      <w:bookmarkEnd w:id="184"/>
      <w:r>
        <w:rPr>
          <w:rFonts w:ascii="Times New Roman" w:hAnsi="Times New Roman" w:eastAsia="黑体" w:cs="Times New Roman"/>
          <w:b/>
          <w:sz w:val="20"/>
          <w:szCs w:val="20"/>
        </w:rPr>
        <w:t>y Support</w:t>
      </w:r>
      <w:bookmarkEnd w:id="185"/>
    </w:p>
    <w:p w14:paraId="5590A193">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88960" behindDoc="0" locked="0" layoutInCell="1" allowOverlap="1">
                <wp:simplePos x="0" y="0"/>
                <wp:positionH relativeFrom="margin">
                  <wp:posOffset>3061970</wp:posOffset>
                </wp:positionH>
                <wp:positionV relativeFrom="margin">
                  <wp:posOffset>4601845</wp:posOffset>
                </wp:positionV>
                <wp:extent cx="914400" cy="962025"/>
                <wp:effectExtent l="6350" t="6350" r="8890" b="6985"/>
                <wp:wrapSquare wrapText="bothSides"/>
                <wp:docPr id="50" name="文本框 25"/>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02E13238">
                            <w:pPr>
                              <w:pStyle w:val="92"/>
                              <w:adjustRightInd w:val="0"/>
                            </w:pPr>
                            <w:r>
                              <w:drawing>
                                <wp:inline distT="0" distB="0" distL="0" distR="0">
                                  <wp:extent cx="722630" cy="722630"/>
                                  <wp:effectExtent l="0" t="0" r="1270" b="127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72">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2869371A">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45FC220F">
                            <w:pPr>
                              <w:pStyle w:val="92"/>
                              <w:adjustRightInd w:val="0"/>
                            </w:pPr>
                          </w:p>
                        </w:txbxContent>
                      </wps:txbx>
                      <wps:bodyPr upright="1"/>
                    </wps:wsp>
                  </a:graphicData>
                </a:graphic>
              </wp:anchor>
            </w:drawing>
          </mc:Choice>
          <mc:Fallback>
            <w:pict>
              <v:shape id="文本框 25" o:spid="_x0000_s1026" o:spt="202" type="#_x0000_t202" style="position:absolute;left:0pt;margin-left:241.1pt;margin-top:362.35pt;height:75.75pt;width:72pt;mso-position-horizontal-relative:margin;mso-position-vertical-relative:margin;mso-wrap-distance-bottom:0pt;mso-wrap-distance-left:9pt;mso-wrap-distance-right:9pt;mso-wrap-distance-top:0pt;z-index:251688960;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">
                <v:fill on="f" focussize="0,0"/>
                <v:stroke weight="1pt" color="#A8D08D" joinstyle="miter"/>
                <v:imagedata o:title=""/>
                <o:lock v:ext="edit" aspectratio="f"/>
                <v:textbox>
                  <w:txbxContent>
                    <w:p w14:paraId="02E13238">
                      <w:pPr>
                        <w:pStyle w:val="92"/>
                        <w:adjustRightInd w:val="0"/>
                      </w:pPr>
                      <w:r>
                        <w:drawing>
                          <wp:inline distT="0" distB="0" distL="0" distR="0">
                            <wp:extent cx="722630" cy="722630"/>
                            <wp:effectExtent l="0" t="0" r="1270" b="127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72">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2869371A">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45FC220F">
                      <w:pPr>
                        <w:pStyle w:val="92"/>
                        <w:adjustRightInd w:val="0"/>
                      </w:pPr>
                    </w:p>
                  </w:txbxContent>
                </v:textbox>
                <w10:wrap type="square"/>
              </v:shape>
            </w:pict>
          </mc:Fallback>
        </mc:AlternateContent>
      </w:r>
      <w:r>
        <w:rPr>
          <w:i/>
          <w:iCs/>
        </w:rPr>
        <w:t>Implementation Plan for the Outline of the Strategic Plan on the Development of Traditional Chinese Medicine (2016-2030) in Hunan Province</w:t>
      </w:r>
    </w:p>
    <w:p w14:paraId="402A5E05">
      <w:pPr>
        <w:pStyle w:val="85"/>
        <w:numPr>
          <w:ilvl w:val="0"/>
          <w:numId w:val="3"/>
        </w:numPr>
        <w:ind w:left="426" w:hanging="142" w:firstLineChars="0"/>
        <w:rPr>
          <w:i/>
          <w:iCs/>
        </w:rPr>
      </w:pPr>
      <w:r>
        <w:rPr>
          <w:i/>
          <w:iCs/>
        </w:rPr>
        <w:t>Opinions of Hunan Provincial People’s Government on Implementing Healthy Hunan Initiative</w:t>
      </w:r>
    </w:p>
    <w:p w14:paraId="74995D2C">
      <w:pPr>
        <w:pStyle w:val="85"/>
        <w:numPr>
          <w:ilvl w:val="0"/>
          <w:numId w:val="3"/>
        </w:numPr>
        <w:ind w:left="426" w:hanging="142" w:firstLineChars="0"/>
        <w:rPr>
          <w:i/>
          <w:iCs/>
        </w:rPr>
      </w:pPr>
      <w:r>
        <w:rPr>
          <w:i/>
          <w:iCs/>
        </w:rPr>
        <w:t>Policy Measures to Encourage the Consistent Evaluation of the Quality and Efficacy of Generic Drugs in Hunan Province</w:t>
      </w:r>
    </w:p>
    <w:p w14:paraId="447568A8">
      <w:pPr>
        <w:rPr>
          <w:i/>
          <w:iCs/>
        </w:rPr>
      </w:pPr>
      <w:r>
        <w:rPr>
          <w:iCs/>
        </w:rPr>
        <mc:AlternateContent>
          <mc:Choice Requires="wps">
            <w:drawing>
              <wp:anchor distT="0" distB="0" distL="114300" distR="114300" simplePos="0" relativeHeight="251673600" behindDoc="0" locked="0" layoutInCell="1" allowOverlap="1">
                <wp:simplePos x="0" y="0"/>
                <wp:positionH relativeFrom="column">
                  <wp:posOffset>187325</wp:posOffset>
                </wp:positionH>
                <wp:positionV relativeFrom="paragraph">
                  <wp:posOffset>111760</wp:posOffset>
                </wp:positionV>
                <wp:extent cx="3876675" cy="1345565"/>
                <wp:effectExtent l="6350" t="112395" r="18415" b="20320"/>
                <wp:wrapNone/>
                <wp:docPr id="35" name="矩形标注 44"/>
                <wp:cNvGraphicFramePr/>
                <a:graphic xmlns:a="http://schemas.openxmlformats.org/drawingml/2006/main">
                  <a:graphicData uri="http://schemas.microsoft.com/office/word/2010/wordprocessingShape">
                    <wps:wsp>
                      <wps:cNvSpPr/>
                      <wps:spPr>
                        <a:xfrm>
                          <a:off x="0" y="0"/>
                          <a:ext cx="3876675" cy="1345565"/>
                        </a:xfrm>
                        <a:prstGeom prst="wedgeRectCallout">
                          <a:avLst>
                            <a:gd name="adj1" fmla="val -42023"/>
                            <a:gd name="adj2" fmla="val -57597"/>
                          </a:avLst>
                        </a:prstGeom>
                        <a:solidFill>
                          <a:srgbClr val="E2EFD9"/>
                        </a:solidFill>
                        <a:ln w="12700" cap="flat" cmpd="sng">
                          <a:solidFill>
                            <a:srgbClr val="A8D08D"/>
                          </a:solidFill>
                          <a:prstDash val="solid"/>
                          <a:miter/>
                          <a:headEnd type="none" w="med" len="med"/>
                          <a:tailEnd type="none" w="med" len="med"/>
                        </a:ln>
                      </wps:spPr>
                      <wps:txbx>
                        <w:txbxContent>
                          <w:p w14:paraId="0386C92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44A5E4CA">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Developing the “green channel” with consistent evaluation. </w:t>
                            </w:r>
                            <w:r>
                              <w:rPr>
                                <w:rFonts w:ascii="Times New Roman" w:hAnsi="Times New Roman" w:cs="Times New Roman"/>
                                <w:color w:val="3F3F3F" w:themeColor="text1" w:themeTint="BF"/>
                                <w:sz w:val="18"/>
                                <w:szCs w:val="18"/>
                              </w:rPr>
                              <w:t>Relevant organizations are required to pool administrative resources to support and facilitate the development of pharmaceutical enterprises engaged in consistent evaluation.</w:t>
                            </w:r>
                          </w:p>
                          <w:p w14:paraId="75A59D8A">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Supporting varieties that passed the consistent evaluation to expand market.</w:t>
                            </w:r>
                            <w:r>
                              <w:rPr>
                                <w:rFonts w:ascii="Times New Roman" w:hAnsi="Times New Roman" w:cs="Times New Roman"/>
                                <w:color w:val="3F3F3F" w:themeColor="text1" w:themeTint="BF"/>
                                <w:sz w:val="18"/>
                                <w:szCs w:val="18"/>
                              </w:rPr>
                              <w:t xml:space="preserve"> We will recommend the inclusion of varieties that passed the consistent evaluation in the medical insurance catalog and procurement catalog, enabling direct online procurement and prioritized procurement.</w:t>
                            </w:r>
                          </w:p>
                        </w:txbxContent>
                      </wps:txbx>
                      <wps:bodyPr anchor="ctr" anchorCtr="0" upright="1"/>
                    </wps:wsp>
                  </a:graphicData>
                </a:graphic>
              </wp:anchor>
            </w:drawing>
          </mc:Choice>
          <mc:Fallback>
            <w:pict>
              <v:shape id="矩形标注 44" o:spid="_x0000_s1026" o:spt="61" type="#_x0000_t61" style="position:absolute;left:0pt;margin-left:14.75pt;margin-top:8.8pt;height:105.95pt;width:305.25pt;z-index:251673600;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" adj="1723,-1641">
                <v:fill on="t" focussize="0,0"/>
                <v:stroke weight="1pt" color="#A8D08D" joinstyle="miter"/>
                <v:imagedata o:title=""/>
                <o:lock v:ext="edit" aspectratio="f"/>
                <v:textbox>
                  <w:txbxContent>
                    <w:p w14:paraId="0386C92C">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44A5E4CA">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Developing the “green channel” with consistent evaluation. </w:t>
                      </w:r>
                      <w:r>
                        <w:rPr>
                          <w:rFonts w:ascii="Times New Roman" w:hAnsi="Times New Roman" w:cs="Times New Roman"/>
                          <w:color w:val="3F3F3F" w:themeColor="text1" w:themeTint="BF"/>
                          <w:sz w:val="18"/>
                          <w:szCs w:val="18"/>
                        </w:rPr>
                        <w:t>Relevant organizations are required to pool administrative resources to support and facilitate the development of pharmaceutical enterprises engaged in consistent evaluation.</w:t>
                      </w:r>
                    </w:p>
                    <w:p w14:paraId="75A59D8A">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Supporting varieties that passed the consistent evaluation to expand market.</w:t>
                      </w:r>
                      <w:r>
                        <w:rPr>
                          <w:rFonts w:ascii="Times New Roman" w:hAnsi="Times New Roman" w:cs="Times New Roman"/>
                          <w:color w:val="3F3F3F" w:themeColor="text1" w:themeTint="BF"/>
                          <w:sz w:val="18"/>
                          <w:szCs w:val="18"/>
                        </w:rPr>
                        <w:t xml:space="preserve"> We will recommend the inclusion of varieties that passed the consistent evaluation in the medical insurance catalog and procurement catalog, enabling direct online procurement and prioritized procurement.</w:t>
                      </w:r>
                    </w:p>
                  </w:txbxContent>
                </v:textbox>
              </v:shape>
            </w:pict>
          </mc:Fallback>
        </mc:AlternateContent>
      </w:r>
    </w:p>
    <w:p w14:paraId="4B0BF96E">
      <w:pPr>
        <w:rPr>
          <w:i/>
          <w:iCs/>
        </w:rPr>
      </w:pPr>
    </w:p>
    <w:p w14:paraId="72662CB7">
      <w:pPr>
        <w:rPr>
          <w:i/>
          <w:iCs/>
        </w:rPr>
      </w:pPr>
    </w:p>
    <w:p w14:paraId="46D557C0">
      <w:pPr>
        <w:rPr>
          <w:i/>
          <w:iCs/>
        </w:rPr>
      </w:pPr>
    </w:p>
    <w:p w14:paraId="64472246">
      <w:pPr>
        <w:rPr>
          <w:i/>
          <w:iCs/>
        </w:rPr>
      </w:pPr>
    </w:p>
    <w:p w14:paraId="2EDC2232">
      <w:pPr>
        <w:rPr>
          <w:i/>
          <w:iCs/>
        </w:rPr>
      </w:pPr>
    </w:p>
    <w:p w14:paraId="4029A3D0">
      <w:pPr>
        <w:pStyle w:val="85"/>
        <w:numPr>
          <w:ilvl w:val="0"/>
          <w:numId w:val="3"/>
        </w:numPr>
        <w:ind w:left="426" w:hanging="142" w:firstLineChars="0"/>
        <w:rPr>
          <w:i/>
          <w:iCs/>
        </w:rPr>
      </w:pPr>
      <w:r>
        <w:rPr>
          <w:i/>
          <w:iCs/>
        </w:rPr>
        <w:t>Opinions of the General Office of People’s Government of Hunan Province on Promoting the Innovative Development of Biomedical Industry</w:t>
      </w:r>
    </w:p>
    <w:p w14:paraId="468B59E4">
      <w:pPr>
        <w:pStyle w:val="85"/>
        <w:numPr>
          <w:ilvl w:val="0"/>
          <w:numId w:val="3"/>
        </w:numPr>
        <w:ind w:left="426" w:hanging="142" w:firstLineChars="0"/>
        <w:rPr>
          <w:i/>
          <w:iCs/>
        </w:rPr>
      </w:pPr>
      <w:r>
        <w:rPr>
          <w:i/>
          <w:iCs/>
        </w:rPr>
        <w:t>14th Five-Year Plan for the Development of Healthy Hunan Initiative</w:t>
      </w:r>
    </w:p>
    <w:p w14:paraId="6C83A515">
      <w:pPr>
        <w:pStyle w:val="85"/>
        <w:numPr>
          <w:ilvl w:val="0"/>
          <w:numId w:val="3"/>
        </w:numPr>
        <w:ind w:left="426" w:hanging="142" w:firstLineChars="0"/>
        <w:rPr>
          <w:i/>
          <w:iCs/>
        </w:rPr>
      </w:pPr>
      <w:r>
        <w:rPr>
          <w:i/>
          <w:iCs/>
        </w:rPr>
        <w:t>14th Five-Year Plan for the Development of Traditional Chinese Medicine in Hunan Province</w:t>
      </w:r>
    </w:p>
    <w:p w14:paraId="47D3BC88">
      <w:pPr>
        <w:pStyle w:val="85"/>
        <w:numPr>
          <w:ilvl w:val="0"/>
          <w:numId w:val="3"/>
        </w:numPr>
        <w:ind w:left="426" w:hanging="142" w:firstLineChars="0"/>
        <w:rPr>
          <w:i/>
          <w:iCs/>
        </w:rPr>
      </w:pPr>
      <w:r>
        <w:rPr>
          <w:i/>
          <w:iCs/>
        </w:rPr>
        <w:t>Implementation Plan for the Development of National TCM Comprehensive Reform Demonstration Zone in Hunan Province</w:t>
      </w:r>
    </w:p>
    <w:p w14:paraId="3E496534">
      <w:pPr>
        <w:pStyle w:val="85"/>
        <w:numPr>
          <w:ilvl w:val="0"/>
          <w:numId w:val="3"/>
        </w:numPr>
        <w:ind w:left="426" w:hanging="142" w:firstLineChars="0"/>
        <w:rPr>
          <w:i/>
          <w:iCs/>
        </w:rPr>
      </w:pPr>
      <w:r>
        <w:rPr>
          <w:i/>
          <w:iCs/>
        </w:rPr>
        <w:t>Measures for Fostering Key Products of Biomedicine Industry Chain in Hunan Province</w:t>
      </w:r>
    </w:p>
    <w:p w14:paraId="010B1CB5">
      <w:pPr>
        <w:pStyle w:val="85"/>
        <w:numPr>
          <w:ilvl w:val="0"/>
          <w:numId w:val="3"/>
        </w:numPr>
        <w:ind w:left="426" w:hanging="142" w:firstLineChars="0"/>
        <w:rPr>
          <w:i/>
          <w:iCs/>
        </w:rPr>
      </w:pPr>
      <w:r>
        <w:rPr>
          <w:i/>
          <w:iCs/>
        </w:rPr>
        <w:t>Work Plan for Fostering the Healthcare Industry in Hunan Province</w:t>
      </w:r>
    </w:p>
    <w:p w14:paraId="1A5B25AF">
      <w:pPr>
        <w:keepNext/>
        <w:adjustRightInd w:val="0"/>
        <w:snapToGrid w:val="0"/>
        <w:spacing w:beforeLines="50" w:afterLines="20"/>
        <w:ind w:firstLine="440"/>
        <w:jc w:val="center"/>
        <w:rPr>
          <w:rFonts w:ascii="Times New Roman" w:hAnsi="Times New Roman" w:eastAsia="黑体" w:cs="Times New Roman"/>
          <w:sz w:val="18"/>
          <w:szCs w:val="21"/>
        </w:rPr>
      </w:pPr>
      <w:r>
        <w:rPr>
          <w:rFonts w:ascii="Times New Roman" w:hAnsi="Times New Roman" w:eastAsia="黑体" w:cs="Times New Roman"/>
          <w:sz w:val="18"/>
          <w:szCs w:val="18"/>
        </w:rPr>
        <w:t>Funds supporting the healthcare industry</w:t>
      </w:r>
    </w:p>
    <w:tbl>
      <w:tblPr>
        <w:tblStyle w:val="139"/>
        <w:tblW w:w="5000" w:type="pct"/>
        <w:tblInd w:w="0" w:type="dxa"/>
        <w:tblBorders>
          <w:top w:val="single" w:color="9BBB59" w:sz="4" w:space="0"/>
          <w:left w:val="none" w:color="auto" w:sz="0" w:space="0"/>
          <w:bottom w:val="single" w:color="9BBB59"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95"/>
        <w:gridCol w:w="1304"/>
        <w:gridCol w:w="1737"/>
        <w:gridCol w:w="544"/>
        <w:gridCol w:w="900"/>
        <w:gridCol w:w="1567"/>
      </w:tblGrid>
      <w:tr w14:paraId="6663B098">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blHeader/>
        </w:trPr>
        <w:tc>
          <w:tcPr>
            <w:tcW w:w="307" w:type="pct"/>
            <w:tcBorders>
              <w:bottom w:val="single" w:color="9BBB59" w:sz="4" w:space="0"/>
              <w:insideH w:val="single" w:sz="4" w:space="0"/>
            </w:tcBorders>
            <w:vAlign w:val="center"/>
          </w:tcPr>
          <w:p w14:paraId="1A20322F">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No.</w:t>
            </w:r>
          </w:p>
        </w:tc>
        <w:tc>
          <w:tcPr>
            <w:tcW w:w="1011" w:type="pct"/>
            <w:tcBorders>
              <w:bottom w:val="single" w:color="9BBB59" w:sz="4" w:space="0"/>
              <w:insideH w:val="single" w:sz="4" w:space="0"/>
            </w:tcBorders>
            <w:vAlign w:val="center"/>
          </w:tcPr>
          <w:p w14:paraId="17F238FB">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Fund</w:t>
            </w:r>
          </w:p>
        </w:tc>
        <w:tc>
          <w:tcPr>
            <w:tcW w:w="1347" w:type="pct"/>
            <w:tcBorders>
              <w:bottom w:val="single" w:color="9BBB59" w:sz="4" w:space="0"/>
              <w:insideH w:val="single" w:sz="4" w:space="0"/>
            </w:tcBorders>
            <w:vAlign w:val="center"/>
          </w:tcPr>
          <w:p w14:paraId="6BE295B4">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Sector</w:t>
            </w:r>
          </w:p>
        </w:tc>
        <w:tc>
          <w:tcPr>
            <w:tcW w:w="422" w:type="pct"/>
            <w:tcBorders>
              <w:bottom w:val="single" w:color="9BBB59" w:sz="4" w:space="0"/>
              <w:insideH w:val="single" w:sz="4" w:space="0"/>
            </w:tcBorders>
            <w:vAlign w:val="center"/>
          </w:tcPr>
          <w:p w14:paraId="5784CC5D">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Est. Time</w:t>
            </w:r>
          </w:p>
        </w:tc>
        <w:tc>
          <w:tcPr>
            <w:tcW w:w="698" w:type="pct"/>
            <w:tcBorders>
              <w:bottom w:val="single" w:color="9BBB59" w:sz="4" w:space="0"/>
              <w:insideH w:val="single" w:sz="4" w:space="0"/>
            </w:tcBorders>
            <w:vAlign w:val="center"/>
          </w:tcPr>
          <w:p w14:paraId="6733620B">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Scale (RMB)</w:t>
            </w:r>
          </w:p>
        </w:tc>
        <w:tc>
          <w:tcPr>
            <w:tcW w:w="1215" w:type="pct"/>
            <w:tcBorders>
              <w:bottom w:val="single" w:color="9BBB59" w:sz="4" w:space="0"/>
              <w:insideH w:val="single" w:sz="4" w:space="0"/>
            </w:tcBorders>
            <w:vAlign w:val="center"/>
          </w:tcPr>
          <w:p w14:paraId="3070037E">
            <w:pPr>
              <w:widowControl/>
              <w:adjustRightInd w:val="0"/>
              <w:snapToGrid w:val="0"/>
              <w:spacing w:line="18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Remarks</w:t>
            </w:r>
          </w:p>
        </w:tc>
      </w:tr>
      <w:tr w14:paraId="081E2685">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2" w:hRule="atLeast"/>
        </w:trPr>
        <w:tc>
          <w:tcPr>
            <w:tcW w:w="307" w:type="pct"/>
            <w:shd w:val="clear" w:color="auto" w:fill="EAF1DD"/>
            <w:vAlign w:val="center"/>
          </w:tcPr>
          <w:p w14:paraId="7CA77B5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w:t>
            </w:r>
          </w:p>
        </w:tc>
        <w:tc>
          <w:tcPr>
            <w:tcW w:w="1011" w:type="pct"/>
            <w:shd w:val="clear" w:color="auto" w:fill="EAF1DD"/>
            <w:vAlign w:val="center"/>
          </w:tcPr>
          <w:p w14:paraId="617B236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Healthcare and Elderly Care Industry Investment Fund</w:t>
            </w:r>
          </w:p>
        </w:tc>
        <w:tc>
          <w:tcPr>
            <w:tcW w:w="1347" w:type="pct"/>
            <w:shd w:val="clear" w:color="auto" w:fill="EAF1DD"/>
            <w:vAlign w:val="center"/>
          </w:tcPr>
          <w:p w14:paraId="780DFFE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Healthcare and elderly care services industry</w:t>
            </w:r>
          </w:p>
        </w:tc>
        <w:tc>
          <w:tcPr>
            <w:tcW w:w="422" w:type="pct"/>
            <w:shd w:val="clear" w:color="auto" w:fill="EAF1DD"/>
            <w:vAlign w:val="center"/>
          </w:tcPr>
          <w:p w14:paraId="7846A4A1">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2015</w:t>
            </w:r>
          </w:p>
        </w:tc>
        <w:tc>
          <w:tcPr>
            <w:tcW w:w="698" w:type="pct"/>
            <w:shd w:val="clear" w:color="auto" w:fill="EAF1DD"/>
            <w:vAlign w:val="center"/>
          </w:tcPr>
          <w:p w14:paraId="7B18DA9C">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10 billion expected; Phase I: 4.5 billion</w:t>
            </w:r>
          </w:p>
        </w:tc>
        <w:tc>
          <w:tcPr>
            <w:tcW w:w="1215" w:type="pct"/>
            <w:shd w:val="clear" w:color="auto" w:fill="EAF1DD"/>
            <w:vAlign w:val="center"/>
          </w:tcPr>
          <w:p w14:paraId="74F7A96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Jointly initiated by Hunan Hi-tech Venture Capital Investment Group, Jiangshan Guojin Asset Management.</w:t>
            </w:r>
          </w:p>
        </w:tc>
      </w:tr>
      <w:tr w14:paraId="747C1389">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7" w:hRule="atLeast"/>
        </w:trPr>
        <w:tc>
          <w:tcPr>
            <w:tcW w:w="307" w:type="pct"/>
            <w:vAlign w:val="center"/>
          </w:tcPr>
          <w:p w14:paraId="20A57976">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w:t>
            </w:r>
          </w:p>
        </w:tc>
        <w:tc>
          <w:tcPr>
            <w:tcW w:w="1011" w:type="pct"/>
            <w:vAlign w:val="center"/>
          </w:tcPr>
          <w:p w14:paraId="1B47100C">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Emerging Industry Stock Investment Guidance Fund (Healthcare Industry Sub-funds)</w:t>
            </w:r>
          </w:p>
        </w:tc>
        <w:tc>
          <w:tcPr>
            <w:tcW w:w="1347" w:type="pct"/>
            <w:vAlign w:val="center"/>
          </w:tcPr>
          <w:p w14:paraId="0AD6DEE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Medical services, medical devices, biomedicine, WITMED, healthcare, and wellness</w:t>
            </w:r>
          </w:p>
        </w:tc>
        <w:tc>
          <w:tcPr>
            <w:tcW w:w="422" w:type="pct"/>
            <w:vAlign w:val="center"/>
          </w:tcPr>
          <w:p w14:paraId="5F8245E1">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2024</w:t>
            </w:r>
          </w:p>
        </w:tc>
        <w:tc>
          <w:tcPr>
            <w:tcW w:w="698" w:type="pct"/>
            <w:vAlign w:val="center"/>
          </w:tcPr>
          <w:p w14:paraId="591A8C5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 billion +</w:t>
            </w:r>
          </w:p>
        </w:tc>
        <w:tc>
          <w:tcPr>
            <w:tcW w:w="1215" w:type="pct"/>
            <w:vAlign w:val="center"/>
          </w:tcPr>
          <w:p w14:paraId="09F4BA99">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Managed by Hunan Chasing Fund Management.</w:t>
            </w:r>
          </w:p>
        </w:tc>
      </w:tr>
      <w:tr w14:paraId="3E4680A3">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7" w:hRule="atLeast"/>
        </w:trPr>
        <w:tc>
          <w:tcPr>
            <w:tcW w:w="307" w:type="pct"/>
            <w:shd w:val="clear" w:color="auto" w:fill="EAF1DD"/>
            <w:vAlign w:val="center"/>
          </w:tcPr>
          <w:p w14:paraId="3ECA3F2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3</w:t>
            </w:r>
          </w:p>
        </w:tc>
        <w:tc>
          <w:tcPr>
            <w:tcW w:w="1011" w:type="pct"/>
            <w:shd w:val="clear" w:color="auto" w:fill="EAF1DD"/>
            <w:vAlign w:val="center"/>
          </w:tcPr>
          <w:p w14:paraId="0390F5E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Agricultural Bank of China (Hunan) NO.1 Equity Investment Enterprise (Limited Partnership)</w:t>
            </w:r>
          </w:p>
        </w:tc>
        <w:tc>
          <w:tcPr>
            <w:tcW w:w="1347" w:type="pct"/>
            <w:shd w:val="clear" w:color="auto" w:fill="EAF1DD"/>
            <w:vAlign w:val="center"/>
          </w:tcPr>
          <w:p w14:paraId="3057C412">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Pharmaceutical and biological industry, new materials, etc.</w:t>
            </w:r>
          </w:p>
        </w:tc>
        <w:tc>
          <w:tcPr>
            <w:tcW w:w="422" w:type="pct"/>
            <w:shd w:val="clear" w:color="auto" w:fill="EAF1DD"/>
            <w:vAlign w:val="center"/>
          </w:tcPr>
          <w:p w14:paraId="6C99715B">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2014</w:t>
            </w:r>
          </w:p>
        </w:tc>
        <w:tc>
          <w:tcPr>
            <w:tcW w:w="698" w:type="pct"/>
            <w:shd w:val="clear" w:color="auto" w:fill="EAF1DD"/>
            <w:vAlign w:val="center"/>
          </w:tcPr>
          <w:p w14:paraId="2FDB1EF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w:t>
            </w:r>
          </w:p>
        </w:tc>
        <w:tc>
          <w:tcPr>
            <w:tcW w:w="1215" w:type="pct"/>
            <w:shd w:val="clear" w:color="auto" w:fill="EAF1DD"/>
            <w:vAlign w:val="center"/>
          </w:tcPr>
          <w:p w14:paraId="7A55826F">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ABC International Investment Management (Hunan), Huaihua Urban Construction Investment, Sany Group, etc.</w:t>
            </w:r>
          </w:p>
        </w:tc>
      </w:tr>
      <w:tr w14:paraId="097876E3">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73" w:hRule="atLeast"/>
        </w:trPr>
        <w:tc>
          <w:tcPr>
            <w:tcW w:w="307" w:type="pct"/>
            <w:vAlign w:val="center"/>
          </w:tcPr>
          <w:p w14:paraId="535BD95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4</w:t>
            </w:r>
          </w:p>
        </w:tc>
        <w:tc>
          <w:tcPr>
            <w:tcW w:w="1011" w:type="pct"/>
            <w:vAlign w:val="center"/>
          </w:tcPr>
          <w:p w14:paraId="666E51A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Development and Healthcare Industry Fund</w:t>
            </w:r>
          </w:p>
        </w:tc>
        <w:tc>
          <w:tcPr>
            <w:tcW w:w="1347" w:type="pct"/>
            <w:vAlign w:val="center"/>
          </w:tcPr>
          <w:p w14:paraId="7CDA2C0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Healthcare Industry</w:t>
            </w:r>
          </w:p>
        </w:tc>
        <w:tc>
          <w:tcPr>
            <w:tcW w:w="422" w:type="pct"/>
            <w:vAlign w:val="center"/>
          </w:tcPr>
          <w:p w14:paraId="5A1A2E85">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2021</w:t>
            </w:r>
          </w:p>
        </w:tc>
        <w:tc>
          <w:tcPr>
            <w:tcW w:w="698" w:type="pct"/>
            <w:vAlign w:val="center"/>
          </w:tcPr>
          <w:p w14:paraId="5A356AA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1.2 billion</w:t>
            </w:r>
          </w:p>
        </w:tc>
        <w:tc>
          <w:tcPr>
            <w:tcW w:w="1215" w:type="pct"/>
            <w:vAlign w:val="center"/>
          </w:tcPr>
          <w:p w14:paraId="2DADB7D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Jointly initiated by Hunan Development Assets Management Group, Changsha Changxin Investment Management, and Founder Hesheng Investment.</w:t>
            </w:r>
          </w:p>
        </w:tc>
      </w:tr>
      <w:tr w14:paraId="2130014C">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8" w:hRule="atLeast"/>
        </w:trPr>
        <w:tc>
          <w:tcPr>
            <w:tcW w:w="307" w:type="pct"/>
            <w:shd w:val="clear" w:color="auto" w:fill="EAF1DD"/>
            <w:vAlign w:val="center"/>
          </w:tcPr>
          <w:p w14:paraId="1D88C64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5</w:t>
            </w:r>
          </w:p>
        </w:tc>
        <w:tc>
          <w:tcPr>
            <w:tcW w:w="1011" w:type="pct"/>
            <w:shd w:val="clear" w:color="auto" w:fill="EAF1DD"/>
            <w:vAlign w:val="center"/>
          </w:tcPr>
          <w:p w14:paraId="45C127F3">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Anxin Light Salt Medicine and Healthcare Industry Investment Fund</w:t>
            </w:r>
          </w:p>
        </w:tc>
        <w:tc>
          <w:tcPr>
            <w:tcW w:w="1347" w:type="pct"/>
            <w:shd w:val="clear" w:color="auto" w:fill="EAF1DD"/>
            <w:vAlign w:val="center"/>
          </w:tcPr>
          <w:p w14:paraId="29A80791">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Pharmaceutical and healthcare-related industries, mainly including pharmaceutical manufacturing, medical devices, medical institutions, medical and healthcare services</w:t>
            </w:r>
          </w:p>
        </w:tc>
        <w:tc>
          <w:tcPr>
            <w:tcW w:w="422" w:type="pct"/>
            <w:shd w:val="clear" w:color="auto" w:fill="EAF1DD"/>
            <w:vAlign w:val="center"/>
          </w:tcPr>
          <w:p w14:paraId="6AB4BE12">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2021</w:t>
            </w:r>
          </w:p>
        </w:tc>
        <w:tc>
          <w:tcPr>
            <w:tcW w:w="698" w:type="pct"/>
            <w:shd w:val="clear" w:color="auto" w:fill="EAF1DD"/>
            <w:vAlign w:val="center"/>
          </w:tcPr>
          <w:p w14:paraId="0497F0F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500 million</w:t>
            </w:r>
          </w:p>
        </w:tc>
        <w:tc>
          <w:tcPr>
            <w:tcW w:w="1215" w:type="pct"/>
            <w:shd w:val="clear" w:color="auto" w:fill="EAF1DD"/>
            <w:vAlign w:val="center"/>
          </w:tcPr>
          <w:p w14:paraId="4A3F8DA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Jointly initiated by Hunan Light Salt Shengfu Venture Capital Management, Changsha Changxin Investment Management, and Essence Capital.</w:t>
            </w:r>
          </w:p>
        </w:tc>
      </w:tr>
      <w:tr w14:paraId="551301A0">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50" w:hRule="atLeast"/>
        </w:trPr>
        <w:tc>
          <w:tcPr>
            <w:tcW w:w="307" w:type="pct"/>
            <w:vAlign w:val="center"/>
          </w:tcPr>
          <w:p w14:paraId="24A2533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6</w:t>
            </w:r>
          </w:p>
        </w:tc>
        <w:tc>
          <w:tcPr>
            <w:tcW w:w="1011" w:type="pct"/>
            <w:vAlign w:val="center"/>
          </w:tcPr>
          <w:p w14:paraId="420D69E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Medical Development Investment Fund</w:t>
            </w:r>
          </w:p>
        </w:tc>
        <w:tc>
          <w:tcPr>
            <w:tcW w:w="1347" w:type="pct"/>
            <w:vAlign w:val="center"/>
          </w:tcPr>
          <w:p w14:paraId="0F3BE3E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Pharmaceuticals, medical devices, healthcare and elderly care industries, and future-oriented industries including life sciences and artificial intelligence in the healthcare sector</w:t>
            </w:r>
          </w:p>
        </w:tc>
        <w:tc>
          <w:tcPr>
            <w:tcW w:w="422" w:type="pct"/>
            <w:vAlign w:val="center"/>
          </w:tcPr>
          <w:p w14:paraId="6F1D516A">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2023</w:t>
            </w:r>
          </w:p>
        </w:tc>
        <w:tc>
          <w:tcPr>
            <w:tcW w:w="698" w:type="pct"/>
            <w:vAlign w:val="center"/>
          </w:tcPr>
          <w:p w14:paraId="161D3EF9">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 billion;</w:t>
            </w:r>
          </w:p>
          <w:p w14:paraId="1FD98C7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Phase I: 1 billion</w:t>
            </w:r>
          </w:p>
        </w:tc>
        <w:tc>
          <w:tcPr>
            <w:tcW w:w="1215" w:type="pct"/>
            <w:vAlign w:val="center"/>
          </w:tcPr>
          <w:p w14:paraId="525E172A">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Managed by Hunan Pharmaceutical Development Private Equity Fund Management.</w:t>
            </w:r>
          </w:p>
        </w:tc>
      </w:tr>
      <w:tr w14:paraId="6FF4BAAC">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6" w:hRule="atLeast"/>
        </w:trPr>
        <w:tc>
          <w:tcPr>
            <w:tcW w:w="307" w:type="pct"/>
            <w:shd w:val="clear" w:color="auto" w:fill="EAF1DD"/>
            <w:vAlign w:val="center"/>
          </w:tcPr>
          <w:p w14:paraId="2D323985">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7</w:t>
            </w:r>
          </w:p>
        </w:tc>
        <w:tc>
          <w:tcPr>
            <w:tcW w:w="1011" w:type="pct"/>
            <w:shd w:val="clear" w:color="auto" w:fill="EAF1DD"/>
            <w:vAlign w:val="center"/>
          </w:tcPr>
          <w:p w14:paraId="7A8737E6">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Changsha Industrial Development Fund of Funds (FOF)</w:t>
            </w:r>
          </w:p>
        </w:tc>
        <w:tc>
          <w:tcPr>
            <w:tcW w:w="1347" w:type="pct"/>
            <w:shd w:val="clear" w:color="auto" w:fill="EAF1DD"/>
            <w:vAlign w:val="center"/>
          </w:tcPr>
          <w:p w14:paraId="5034C23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22 industrial and emerging competitive industry chains and “1+2+N” advanced manufacturing clusters, including biomedicine.</w:t>
            </w:r>
          </w:p>
        </w:tc>
        <w:tc>
          <w:tcPr>
            <w:tcW w:w="422" w:type="pct"/>
            <w:shd w:val="clear" w:color="auto" w:fill="EAF1DD"/>
            <w:vAlign w:val="center"/>
          </w:tcPr>
          <w:p w14:paraId="57B55C2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2023</w:t>
            </w:r>
          </w:p>
        </w:tc>
        <w:tc>
          <w:tcPr>
            <w:tcW w:w="698" w:type="pct"/>
            <w:shd w:val="clear" w:color="auto" w:fill="EAF1DD"/>
            <w:vAlign w:val="center"/>
          </w:tcPr>
          <w:p w14:paraId="612C197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30 billion</w:t>
            </w:r>
          </w:p>
        </w:tc>
        <w:tc>
          <w:tcPr>
            <w:tcW w:w="1215" w:type="pct"/>
            <w:shd w:val="clear" w:color="auto" w:fill="EAF1DD"/>
            <w:vAlign w:val="center"/>
          </w:tcPr>
          <w:p w14:paraId="184FBE7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Established under the leadership of Changsha Investment Holding Group</w:t>
            </w:r>
          </w:p>
        </w:tc>
      </w:tr>
      <w:tr w14:paraId="1122B4C3">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91" w:hRule="atLeast"/>
        </w:trPr>
        <w:tc>
          <w:tcPr>
            <w:tcW w:w="307" w:type="pct"/>
            <w:vAlign w:val="center"/>
          </w:tcPr>
          <w:p w14:paraId="4218638C">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8</w:t>
            </w:r>
          </w:p>
        </w:tc>
        <w:tc>
          <w:tcPr>
            <w:tcW w:w="1011" w:type="pct"/>
            <w:vAlign w:val="center"/>
          </w:tcPr>
          <w:p w14:paraId="2B2CB72A">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Zhuzhou Advanced Industrial Cluster Development Fund of Funds (FOF)</w:t>
            </w:r>
          </w:p>
        </w:tc>
        <w:tc>
          <w:tcPr>
            <w:tcW w:w="1347" w:type="pct"/>
            <w:vAlign w:val="center"/>
          </w:tcPr>
          <w:p w14:paraId="23A368B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13 iconic industry chains, such as biomedicine and healthcare</w:t>
            </w:r>
          </w:p>
        </w:tc>
        <w:tc>
          <w:tcPr>
            <w:tcW w:w="422" w:type="pct"/>
            <w:vAlign w:val="center"/>
          </w:tcPr>
          <w:p w14:paraId="285D9EFC">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2022</w:t>
            </w:r>
          </w:p>
        </w:tc>
        <w:tc>
          <w:tcPr>
            <w:tcW w:w="698" w:type="pct"/>
            <w:vAlign w:val="center"/>
          </w:tcPr>
          <w:p w14:paraId="28BF4F10">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Phase I: 5 billion</w:t>
            </w:r>
          </w:p>
        </w:tc>
        <w:tc>
          <w:tcPr>
            <w:tcW w:w="1215" w:type="pct"/>
            <w:vAlign w:val="center"/>
          </w:tcPr>
          <w:p w14:paraId="51F4AECD">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Led by Zhuzhou Municipal People’s Government, and jointly initiated by Hunan Chasing Financial Holdings and Zhuzhou state-owned enterprises.</w:t>
            </w:r>
          </w:p>
        </w:tc>
      </w:tr>
      <w:tr w14:paraId="07ED0A68">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8" w:hRule="atLeast"/>
        </w:trPr>
        <w:tc>
          <w:tcPr>
            <w:tcW w:w="307" w:type="pct"/>
            <w:shd w:val="clear" w:color="auto" w:fill="EAF1DD"/>
            <w:vAlign w:val="center"/>
          </w:tcPr>
          <w:p w14:paraId="27773191">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9</w:t>
            </w:r>
          </w:p>
        </w:tc>
        <w:tc>
          <w:tcPr>
            <w:tcW w:w="1011" w:type="pct"/>
            <w:shd w:val="clear" w:color="auto" w:fill="EAF1DD"/>
            <w:vAlign w:val="center"/>
          </w:tcPr>
          <w:p w14:paraId="08AC3514">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Hengyang Industrial Investment Fund</w:t>
            </w:r>
          </w:p>
        </w:tc>
        <w:tc>
          <w:tcPr>
            <w:tcW w:w="1347" w:type="pct"/>
            <w:shd w:val="clear" w:color="auto" w:fill="EAF1DD"/>
            <w:vAlign w:val="center"/>
          </w:tcPr>
          <w:p w14:paraId="35774E3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Biomedicine and high-performance medical devices</w:t>
            </w:r>
          </w:p>
        </w:tc>
        <w:tc>
          <w:tcPr>
            <w:tcW w:w="422" w:type="pct"/>
            <w:shd w:val="clear" w:color="auto" w:fill="EAF1DD"/>
            <w:vAlign w:val="center"/>
          </w:tcPr>
          <w:p w14:paraId="6C703496">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2018</w:t>
            </w:r>
          </w:p>
        </w:tc>
        <w:tc>
          <w:tcPr>
            <w:tcW w:w="698" w:type="pct"/>
            <w:shd w:val="clear" w:color="auto" w:fill="EAF1DD"/>
            <w:vAlign w:val="center"/>
          </w:tcPr>
          <w:p w14:paraId="51C95DA9">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3 billion</w:t>
            </w:r>
          </w:p>
        </w:tc>
        <w:tc>
          <w:tcPr>
            <w:tcW w:w="1215" w:type="pct"/>
            <w:shd w:val="clear" w:color="auto" w:fill="EAF1DD"/>
            <w:vAlign w:val="center"/>
          </w:tcPr>
          <w:p w14:paraId="66A0145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Jointly initiated by Hengyang Municipal People’s Government and Hunan Chasing Financial Holdings</w:t>
            </w:r>
          </w:p>
        </w:tc>
      </w:tr>
      <w:tr w14:paraId="66113BE4">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307" w:type="pct"/>
            <w:vAlign w:val="center"/>
          </w:tcPr>
          <w:p w14:paraId="1A39B168">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10</w:t>
            </w:r>
          </w:p>
        </w:tc>
        <w:tc>
          <w:tcPr>
            <w:tcW w:w="1011" w:type="pct"/>
            <w:vAlign w:val="center"/>
          </w:tcPr>
          <w:p w14:paraId="0D742E0F">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Changde Emerging Industries Development Investment Fund</w:t>
            </w:r>
          </w:p>
        </w:tc>
        <w:tc>
          <w:tcPr>
            <w:tcW w:w="1347" w:type="pct"/>
            <w:vAlign w:val="center"/>
          </w:tcPr>
          <w:p w14:paraId="460A2D4C">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Biomedicine and medical devices</w:t>
            </w:r>
          </w:p>
        </w:tc>
        <w:tc>
          <w:tcPr>
            <w:tcW w:w="422" w:type="pct"/>
            <w:vAlign w:val="center"/>
          </w:tcPr>
          <w:p w14:paraId="187C0781">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2022</w:t>
            </w:r>
          </w:p>
        </w:tc>
        <w:tc>
          <w:tcPr>
            <w:tcW w:w="698" w:type="pct"/>
            <w:vAlign w:val="center"/>
          </w:tcPr>
          <w:p w14:paraId="56574647">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3 billion</w:t>
            </w:r>
          </w:p>
        </w:tc>
        <w:tc>
          <w:tcPr>
            <w:tcW w:w="1215" w:type="pct"/>
            <w:vAlign w:val="center"/>
          </w:tcPr>
          <w:p w14:paraId="40A5264E">
            <w:pPr>
              <w:widowControl/>
              <w:adjustRightInd w:val="0"/>
              <w:snapToGrid w:val="0"/>
              <w:spacing w:line="180" w:lineRule="exact"/>
              <w:ind w:left="-105" w:leftChars="-50" w:right="-105" w:rightChars="-50"/>
              <w:jc w:val="center"/>
              <w:rPr>
                <w:rFonts w:ascii="Times New Roman" w:hAnsi="Times New Roman" w:eastAsia="楷体" w:cs="Times New Roman"/>
                <w:color w:val="auto"/>
                <w:kern w:val="0"/>
                <w:sz w:val="18"/>
                <w:szCs w:val="18"/>
              </w:rPr>
            </w:pPr>
          </w:p>
        </w:tc>
      </w:tr>
    </w:tbl>
    <w:p w14:paraId="5DAEE544">
      <w:pPr>
        <w:keepNext/>
        <w:snapToGrid w:val="0"/>
        <w:spacing w:beforeLines="50" w:line="360" w:lineRule="exact"/>
        <w:ind w:firstLine="402" w:firstLineChars="200"/>
        <w:outlineLvl w:val="2"/>
        <w:rPr>
          <w:rFonts w:ascii="Times New Roman" w:hAnsi="Times New Roman" w:eastAsia="黑体" w:cs="Times New Roman"/>
          <w:b/>
          <w:sz w:val="20"/>
          <w:szCs w:val="20"/>
        </w:rPr>
      </w:pPr>
      <w:bookmarkStart w:id="186" w:name="_Toc163910353"/>
      <w:r>
        <w:rPr>
          <w:rFonts w:ascii="Times New Roman" w:hAnsi="Times New Roman" w:eastAsia="黑体" w:cs="Times New Roman"/>
          <w:b/>
          <w:sz w:val="20"/>
          <w:szCs w:val="20"/>
        </w:rPr>
        <w:t xml:space="preserve">(4) Investment </w:t>
      </w:r>
      <w:r>
        <w:rPr>
          <w:rFonts w:ascii="Times New Roman" w:hAnsi="Times New Roman" w:eastAsia="黑体" w:cs="Times New Roman"/>
          <w:b/>
          <w:sz w:val="22"/>
          <w:szCs w:val="24"/>
        </w:rPr>
        <w:t>O</w:t>
      </w:r>
      <w:r>
        <w:rPr>
          <w:rFonts w:hint="eastAsia" w:ascii="Times New Roman" w:hAnsi="Times New Roman" w:eastAsia="黑体" w:cs="Times New Roman"/>
          <w:b/>
          <w:sz w:val="22"/>
          <w:szCs w:val="24"/>
        </w:rPr>
        <w:t>rientation</w:t>
      </w:r>
      <w:r>
        <w:rPr>
          <w:rFonts w:ascii="Times New Roman" w:hAnsi="Times New Roman" w:eastAsia="黑体" w:cs="Times New Roman"/>
          <w:b/>
          <w:sz w:val="20"/>
          <w:szCs w:val="20"/>
        </w:rPr>
        <w:t xml:space="preserve"> and Industrial Layout</w:t>
      </w:r>
      <w:bookmarkEnd w:id="186"/>
    </w:p>
    <w:p w14:paraId="58707790">
      <w:pPr>
        <w:snapToGrid w:val="0"/>
        <w:spacing w:line="340" w:lineRule="exact"/>
        <w:ind w:firstLine="402" w:firstLineChars="200"/>
        <w:rPr>
          <w:rFonts w:ascii="Times New Roman" w:hAnsi="Times New Roman" w:eastAsia="仿宋" w:cs="Times New Roman"/>
          <w:sz w:val="20"/>
          <w:szCs w:val="21"/>
        </w:rPr>
      </w:pPr>
      <w:r>
        <w:rPr>
          <w:rFonts w:ascii="Times New Roman" w:hAnsi="Times New Roman" w:eastAsia="仿宋" w:cs="Times New Roman"/>
          <w:b/>
          <w:bCs/>
          <w:sz w:val="20"/>
          <w:szCs w:val="21"/>
        </w:rPr>
        <w:t>Traditional Chinese Medicine (TCM)</w:t>
      </w:r>
      <w:r>
        <w:rPr>
          <w:rFonts w:ascii="Times New Roman" w:hAnsi="Times New Roman" w:eastAsia="仿宋" w:cs="Times New Roman"/>
          <w:sz w:val="20"/>
          <w:szCs w:val="21"/>
        </w:rPr>
        <w:t xml:space="preserve">. We will strengthen the authentic medicinal materials industry featuring “Xiangjiuwei” TCM brand and develop the TCM industry chain. To that end, we aim to introduce enterprises engaging in the following fields: breeding, ecological cultivation, primary and advanced processing, and fresh processing of fine varieties of authentic medicinal herbs, the production and processing of traditional Chinese patent medicines, TCM herbal </w:t>
      </w:r>
      <w:r>
        <w:rPr>
          <w:rFonts w:ascii="Times New Roman" w:hAnsi="Times New Roman" w:eastAsia="仿宋" w:cs="Times New Roman"/>
          <w:sz w:val="20"/>
          <w:szCs w:val="21"/>
          <w:shd w:val="clear" w:color="auto" w:fill="FFFFFF"/>
        </w:rPr>
        <w:t>decoction</w:t>
      </w:r>
      <w:r>
        <w:rPr>
          <w:rFonts w:ascii="Times New Roman" w:hAnsi="Times New Roman" w:eastAsia="仿宋" w:cs="Times New Roman"/>
          <w:sz w:val="20"/>
          <w:szCs w:val="21"/>
        </w:rPr>
        <w:t>, and TCM granules, R&amp;D and application of classic prescriptions, and TCM innovation in the prioritized introduction areas include Yongzhou ETDZ, Longhui HTZ, and Jingzhou IDZ. Furthermore, based on Longshan, Yongshun, Shaodong, Lengshuitan, Guidong, Anren, and Anhua, we aim to introduce enterprises engaging in the R&amp;D and production of health products as health supplements, Medicine Food Homology (MFH) products, Foods for Special Medical Purpose (FSMP), functional medicine diet, medicinal beverages, medicinal baths, and medicinal cosmetics.</w:t>
      </w:r>
    </w:p>
    <w:p w14:paraId="35461141">
      <w:pPr>
        <w:snapToGrid w:val="0"/>
        <w:spacing w:line="340" w:lineRule="exact"/>
        <w:ind w:firstLine="402" w:firstLineChars="200"/>
        <w:rPr>
          <w:rFonts w:ascii="Times New Roman" w:hAnsi="Times New Roman" w:eastAsia="仿宋" w:cs="Times New Roman"/>
          <w:sz w:val="20"/>
          <w:szCs w:val="21"/>
        </w:rPr>
      </w:pPr>
      <w:r>
        <w:rPr>
          <w:rFonts w:ascii="Times New Roman" w:hAnsi="Times New Roman" w:eastAsia="仿宋" w:cs="Times New Roman"/>
          <w:b/>
          <w:bCs/>
          <w:sz w:val="20"/>
          <w:szCs w:val="21"/>
        </w:rPr>
        <w:t>Modern medicine</w:t>
      </w:r>
      <w:r>
        <w:rPr>
          <w:rFonts w:ascii="Times New Roman" w:hAnsi="Times New Roman" w:eastAsia="仿宋" w:cs="Times New Roman"/>
          <w:sz w:val="20"/>
          <w:szCs w:val="21"/>
        </w:rPr>
        <w:t>. Based on Liuyang ETDZ, Changde ETDZ, Hanshou HTZ, etc., we target introducing enterprises engaging in developing innovative drugs including anti-infection and anti-tumor drugs, drugs for diabetes, cardiovascular, cerebrovascular and psychiatric diseases, and chemical-pharmaceutical products such as improved pharmaceutical products, first generics, high-end active pharmaceutical ingredients (APIs), and key drug intermediates. Based on Xiangjiang New Area and Changsha ETDZ, we put our focus on introducing enterprises in the whole industry chain encompassing TCMs, chemical drugs, biopharmaceuticals, and pharmaceutical logistics to make Changsha an international innovative hub and headquarters base for biopharmaceuticals companies.</w:t>
      </w:r>
    </w:p>
    <w:p w14:paraId="215AC432">
      <w:pPr>
        <w:snapToGrid w:val="0"/>
        <w:spacing w:line="360" w:lineRule="exact"/>
        <w:ind w:firstLine="402" w:firstLineChars="200"/>
        <w:rPr>
          <w:rFonts w:hint="eastAsia" w:ascii="Times New Roman" w:hAnsi="Times New Roman" w:eastAsia="仿宋" w:cs="Times New Roman"/>
          <w:sz w:val="20"/>
          <w:szCs w:val="21"/>
        </w:rPr>
      </w:pPr>
      <w:r>
        <w:rPr>
          <w:rFonts w:ascii="Times New Roman" w:hAnsi="Times New Roman" w:eastAsia="仿宋" w:cs="Times New Roman"/>
          <w:b/>
          <w:bCs/>
          <w:sz w:val="20"/>
          <w:szCs w:val="21"/>
        </w:rPr>
        <w:t>Medical Devices</w:t>
      </w:r>
      <w:r>
        <w:rPr>
          <w:rFonts w:ascii="Times New Roman" w:hAnsi="Times New Roman" w:eastAsia="仿宋" w:cs="Times New Roman"/>
          <w:sz w:val="20"/>
          <w:szCs w:val="21"/>
        </w:rPr>
        <w:t xml:space="preserve">. Based on Xiangjiang New Area and Xiangtan ETDZ, we aim to introduce companies involved in R&amp;D and production of medical devices and core components for large-scale medical diagnostics, advanced diagnostics and treatment, new implantation and intervention, emergency </w:t>
      </w:r>
      <w:r>
        <w:rPr>
          <w:rFonts w:hint="eastAsia" w:ascii="Times New Roman" w:hAnsi="Times New Roman" w:eastAsia="仿宋" w:cs="Times New Roman"/>
          <w:sz w:val="20"/>
          <w:szCs w:val="21"/>
        </w:rPr>
        <w:t>protection, and home medical equipment, and those engaging in vitro diagnostic reagents and equipment. Based on the Changsha Area of China (Hunan) Pilot Free Trade Zone, we aim to attract enterprises engaging in technological innovation and international trade for medical devices.</w:t>
      </w:r>
    </w:p>
    <w:p w14:paraId="47FC0FF3">
      <w:pPr>
        <w:snapToGrid w:val="0"/>
        <w:spacing w:line="360" w:lineRule="exact"/>
        <w:ind w:firstLine="400" w:firstLineChars="200"/>
        <w:rPr>
          <w:rFonts w:hint="eastAsia" w:ascii="Times New Roman" w:hAnsi="Times New Roman" w:eastAsia="仿宋" w:cs="Times New Roman"/>
          <w:sz w:val="20"/>
          <w:szCs w:val="21"/>
        </w:rPr>
      </w:pPr>
      <w:r>
        <w:rPr>
          <w:rFonts w:hint="eastAsia" w:ascii="Times New Roman" w:hAnsi="Times New Roman" w:eastAsia="仿宋" w:cs="Times New Roman"/>
          <w:sz w:val="20"/>
          <w:szCs w:val="21"/>
        </w:rPr>
        <w:t>Cosmetics. Based on Ningxiang ETDZ, Xiangtan ETDZ, and Anxiang HTZ, we welcome full-industry-chain companies that engage in the production and supply of chemical raw materials and packaging materials, R&amp;D and manufacturing, brand planning and promotion, and O2O sales.</w:t>
      </w:r>
    </w:p>
    <w:p w14:paraId="5925A9F0">
      <w:pPr>
        <w:snapToGrid w:val="0"/>
        <w:spacing w:line="360" w:lineRule="exact"/>
        <w:ind w:firstLine="400" w:firstLineChars="200"/>
        <w:rPr>
          <w:rFonts w:hint="eastAsia" w:ascii="Times New Roman" w:hAnsi="Times New Roman" w:eastAsia="仿宋" w:cs="Times New Roman"/>
          <w:sz w:val="20"/>
          <w:szCs w:val="21"/>
        </w:rPr>
      </w:pPr>
      <w:r>
        <w:rPr>
          <w:rFonts w:hint="eastAsia" w:ascii="Times New Roman" w:hAnsi="Times New Roman" w:eastAsia="仿宋" w:cs="Times New Roman"/>
          <w:sz w:val="20"/>
          <w:szCs w:val="21"/>
        </w:rPr>
        <w:t>Healthcare Services. Based on Changsha-Zhuzhou-Xiangtan Central Green Heart Central Park and Zhangjiajie Baozijie Forest Wellness Resort, we aim to enterprises providing healthcare services including TCM wellness, forest wellness, hot spring-enabled wellness, sports, and fitness. Based on Shaoyang ETDZ and Taoyuan HTZ, we plan to introduce enterprises involved in developing auxiliary devices for rehabilitation training and health promotion, such as walking aids, sensory assistance devices, smart wearables, and sporting goods including fitness equipment, water sports equipment, mountain hardware and outdoor clothing, etc.</w:t>
      </w:r>
    </w:p>
    <w:p w14:paraId="7D1D5CF0">
      <w:pPr>
        <w:snapToGrid w:val="0"/>
        <w:spacing w:line="360" w:lineRule="exact"/>
        <w:ind w:firstLine="400" w:firstLineChars="200"/>
        <w:rPr>
          <w:rFonts w:ascii="Times New Roman" w:hAnsi="Times New Roman" w:eastAsia="仿宋" w:cs="Times New Roman"/>
          <w:sz w:val="20"/>
          <w:szCs w:val="21"/>
        </w:rPr>
      </w:pPr>
    </w:p>
    <w:p w14:paraId="2EA9C3C6">
      <w:pPr>
        <w:snapToGrid w:val="0"/>
        <w:spacing w:line="360" w:lineRule="exact"/>
        <w:ind w:firstLine="400" w:firstLineChars="200"/>
        <w:rPr>
          <w:rFonts w:ascii="Times New Roman" w:hAnsi="Times New Roman" w:eastAsia="仿宋" w:cs="Times New Roman"/>
          <w:sz w:val="20"/>
          <w:szCs w:val="21"/>
        </w:rPr>
      </w:pPr>
    </w:p>
    <w:p w14:paraId="39954337">
      <w:pPr>
        <w:snapToGrid w:val="0"/>
        <w:spacing w:line="360" w:lineRule="exact"/>
        <w:ind w:firstLine="400" w:firstLineChars="200"/>
        <w:rPr>
          <w:rFonts w:ascii="Times New Roman" w:hAnsi="Times New Roman" w:eastAsia="仿宋" w:cs="Times New Roman"/>
          <w:sz w:val="20"/>
          <w:szCs w:val="21"/>
        </w:rPr>
      </w:pPr>
    </w:p>
    <w:p w14:paraId="7E41EBCD">
      <w:pPr>
        <w:snapToGrid w:val="0"/>
        <w:spacing w:line="360" w:lineRule="exact"/>
        <w:ind w:firstLine="400" w:firstLineChars="200"/>
        <w:rPr>
          <w:rFonts w:ascii="Times New Roman" w:hAnsi="Times New Roman" w:eastAsia="仿宋" w:cs="Times New Roman"/>
          <w:sz w:val="20"/>
          <w:szCs w:val="21"/>
        </w:rPr>
      </w:pPr>
    </w:p>
    <w:p w14:paraId="2221C799">
      <w:pPr>
        <w:snapToGrid w:val="0"/>
        <w:spacing w:line="360" w:lineRule="exact"/>
        <w:ind w:firstLine="400" w:firstLineChars="200"/>
        <w:rPr>
          <w:rFonts w:ascii="Times New Roman" w:hAnsi="Times New Roman" w:eastAsia="仿宋" w:cs="Times New Roman"/>
          <w:sz w:val="20"/>
          <w:szCs w:val="21"/>
        </w:rPr>
      </w:pPr>
      <w:r>
        <w:rPr>
          <w:rFonts w:hint="eastAsia" w:ascii="Times New Roman" w:hAnsi="Times New Roman" w:eastAsia="仿宋" w:cs="Times New Roman"/>
          <w:sz w:val="20"/>
          <w:szCs w:val="21"/>
        </w:rPr>
        <w:drawing>
          <wp:anchor distT="0" distB="0" distL="114300" distR="114300" simplePos="0" relativeHeight="251705344" behindDoc="0" locked="0" layoutInCell="1" allowOverlap="1">
            <wp:simplePos x="0" y="0"/>
            <wp:positionH relativeFrom="column">
              <wp:posOffset>-894715</wp:posOffset>
            </wp:positionH>
            <wp:positionV relativeFrom="paragraph">
              <wp:posOffset>104140</wp:posOffset>
            </wp:positionV>
            <wp:extent cx="5631815" cy="3588385"/>
            <wp:effectExtent l="0" t="1028700" r="0" b="1002665"/>
            <wp:wrapNone/>
            <wp:docPr id="11827332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30" name="图片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rot="16200000">
                      <a:off x="0" y="0"/>
                      <a:ext cx="5631815" cy="3588385"/>
                    </a:xfrm>
                    <a:prstGeom prst="rect">
                      <a:avLst/>
                    </a:prstGeom>
                    <a:noFill/>
                    <a:ln>
                      <a:noFill/>
                    </a:ln>
                  </pic:spPr>
                </pic:pic>
              </a:graphicData>
            </a:graphic>
          </wp:anchor>
        </w:drawing>
      </w:r>
    </w:p>
    <w:p w14:paraId="34231035">
      <w:pPr>
        <w:snapToGrid w:val="0"/>
        <w:spacing w:line="360" w:lineRule="exact"/>
        <w:ind w:firstLine="400" w:firstLineChars="200"/>
        <w:rPr>
          <w:rFonts w:ascii="Times New Roman" w:hAnsi="Times New Roman" w:eastAsia="仿宋" w:cs="Times New Roman"/>
          <w:sz w:val="20"/>
          <w:szCs w:val="21"/>
        </w:rPr>
      </w:pPr>
    </w:p>
    <w:p w14:paraId="264AEA02">
      <w:pPr>
        <w:snapToGrid w:val="0"/>
        <w:spacing w:line="360" w:lineRule="exact"/>
        <w:ind w:firstLine="400" w:firstLineChars="200"/>
        <w:rPr>
          <w:rFonts w:ascii="Times New Roman" w:hAnsi="Times New Roman" w:eastAsia="仿宋" w:cs="Times New Roman"/>
          <w:sz w:val="20"/>
          <w:szCs w:val="21"/>
        </w:rPr>
      </w:pPr>
    </w:p>
    <w:p w14:paraId="7C334258">
      <w:pPr>
        <w:snapToGrid w:val="0"/>
        <w:spacing w:line="360" w:lineRule="exact"/>
        <w:ind w:firstLine="400" w:firstLineChars="200"/>
        <w:rPr>
          <w:rFonts w:ascii="Times New Roman" w:hAnsi="Times New Roman" w:eastAsia="仿宋" w:cs="Times New Roman"/>
          <w:sz w:val="20"/>
          <w:szCs w:val="21"/>
        </w:rPr>
      </w:pPr>
    </w:p>
    <w:p w14:paraId="38D2600F">
      <w:pPr>
        <w:snapToGrid w:val="0"/>
        <w:spacing w:line="360" w:lineRule="exact"/>
        <w:ind w:firstLine="400" w:firstLineChars="200"/>
        <w:rPr>
          <w:rFonts w:ascii="Times New Roman" w:hAnsi="Times New Roman" w:eastAsia="仿宋" w:cs="Times New Roman"/>
          <w:sz w:val="20"/>
          <w:szCs w:val="21"/>
        </w:rPr>
      </w:pPr>
    </w:p>
    <w:p w14:paraId="71A75CA6">
      <w:pPr>
        <w:snapToGrid w:val="0"/>
        <w:spacing w:line="360" w:lineRule="exact"/>
        <w:ind w:firstLine="400" w:firstLineChars="200"/>
        <w:rPr>
          <w:rFonts w:ascii="Times New Roman" w:hAnsi="Times New Roman" w:eastAsia="仿宋" w:cs="Times New Roman"/>
          <w:sz w:val="20"/>
          <w:szCs w:val="21"/>
        </w:rPr>
      </w:pPr>
    </w:p>
    <w:p w14:paraId="29E846AF">
      <w:pPr>
        <w:snapToGrid w:val="0"/>
        <w:spacing w:line="360" w:lineRule="exact"/>
        <w:ind w:firstLine="400" w:firstLineChars="200"/>
        <w:rPr>
          <w:rFonts w:ascii="Times New Roman" w:hAnsi="Times New Roman" w:eastAsia="仿宋" w:cs="Times New Roman"/>
          <w:sz w:val="20"/>
          <w:szCs w:val="21"/>
        </w:rPr>
      </w:pPr>
    </w:p>
    <w:p w14:paraId="356EFE62">
      <w:pPr>
        <w:snapToGrid w:val="0"/>
        <w:spacing w:line="360" w:lineRule="exact"/>
        <w:ind w:firstLine="400" w:firstLineChars="200"/>
        <w:rPr>
          <w:rFonts w:ascii="Times New Roman" w:hAnsi="Times New Roman" w:eastAsia="仿宋" w:cs="Times New Roman"/>
          <w:sz w:val="20"/>
          <w:szCs w:val="21"/>
        </w:rPr>
      </w:pPr>
    </w:p>
    <w:p w14:paraId="7795472A">
      <w:pPr>
        <w:snapToGrid w:val="0"/>
        <w:spacing w:line="360" w:lineRule="exact"/>
        <w:ind w:firstLine="400" w:firstLineChars="200"/>
        <w:rPr>
          <w:rFonts w:ascii="Times New Roman" w:hAnsi="Times New Roman" w:eastAsia="仿宋" w:cs="Times New Roman"/>
          <w:sz w:val="20"/>
          <w:szCs w:val="21"/>
        </w:rPr>
      </w:pPr>
    </w:p>
    <w:p w14:paraId="40F20526">
      <w:pPr>
        <w:snapToGrid w:val="0"/>
        <w:spacing w:line="360" w:lineRule="exact"/>
        <w:ind w:firstLine="400" w:firstLineChars="200"/>
        <w:rPr>
          <w:rFonts w:ascii="Times New Roman" w:hAnsi="Times New Roman" w:eastAsia="仿宋" w:cs="Times New Roman"/>
          <w:sz w:val="20"/>
          <w:szCs w:val="21"/>
        </w:rPr>
      </w:pPr>
    </w:p>
    <w:p w14:paraId="54B042D6">
      <w:pPr>
        <w:snapToGrid w:val="0"/>
        <w:spacing w:line="360" w:lineRule="exact"/>
        <w:ind w:firstLine="400" w:firstLineChars="200"/>
        <w:rPr>
          <w:rFonts w:ascii="Times New Roman" w:hAnsi="Times New Roman" w:eastAsia="仿宋" w:cs="Times New Roman"/>
          <w:sz w:val="20"/>
          <w:szCs w:val="21"/>
        </w:rPr>
      </w:pPr>
    </w:p>
    <w:p w14:paraId="4CB0C83C">
      <w:pPr>
        <w:snapToGrid w:val="0"/>
        <w:spacing w:line="360" w:lineRule="exact"/>
        <w:ind w:firstLine="400" w:firstLineChars="200"/>
        <w:rPr>
          <w:rFonts w:ascii="Times New Roman" w:hAnsi="Times New Roman" w:eastAsia="仿宋" w:cs="Times New Roman"/>
          <w:sz w:val="20"/>
          <w:szCs w:val="21"/>
        </w:rPr>
      </w:pPr>
    </w:p>
    <w:p w14:paraId="0CFF49AA">
      <w:pPr>
        <w:snapToGrid w:val="0"/>
        <w:spacing w:line="360" w:lineRule="exact"/>
        <w:ind w:firstLine="400" w:firstLineChars="200"/>
        <w:rPr>
          <w:rFonts w:ascii="Times New Roman" w:hAnsi="Times New Roman" w:eastAsia="仿宋" w:cs="Times New Roman"/>
          <w:sz w:val="20"/>
          <w:szCs w:val="21"/>
        </w:rPr>
      </w:pPr>
    </w:p>
    <w:p w14:paraId="6B57B3D4">
      <w:pPr>
        <w:snapToGrid w:val="0"/>
        <w:spacing w:line="360" w:lineRule="exact"/>
        <w:ind w:firstLine="400" w:firstLineChars="200"/>
        <w:rPr>
          <w:rFonts w:ascii="Times New Roman" w:hAnsi="Times New Roman" w:eastAsia="仿宋" w:cs="Times New Roman"/>
          <w:sz w:val="20"/>
          <w:szCs w:val="21"/>
        </w:rPr>
      </w:pPr>
    </w:p>
    <w:p w14:paraId="3981F2D1">
      <w:pPr>
        <w:snapToGrid w:val="0"/>
        <w:spacing w:line="360" w:lineRule="exact"/>
        <w:ind w:firstLine="400" w:firstLineChars="200"/>
        <w:rPr>
          <w:rFonts w:ascii="Times New Roman" w:hAnsi="Times New Roman" w:eastAsia="仿宋" w:cs="Times New Roman"/>
          <w:sz w:val="20"/>
          <w:szCs w:val="21"/>
        </w:rPr>
      </w:pPr>
    </w:p>
    <w:p w14:paraId="1D251BBB">
      <w:pPr>
        <w:snapToGrid w:val="0"/>
        <w:spacing w:line="360" w:lineRule="exact"/>
        <w:ind w:firstLine="400" w:firstLineChars="200"/>
        <w:rPr>
          <w:rFonts w:ascii="Times New Roman" w:hAnsi="Times New Roman" w:eastAsia="仿宋" w:cs="Times New Roman"/>
          <w:sz w:val="20"/>
          <w:szCs w:val="21"/>
        </w:rPr>
      </w:pPr>
    </w:p>
    <w:p w14:paraId="2A634FD1">
      <w:pPr>
        <w:snapToGrid w:val="0"/>
        <w:spacing w:line="360" w:lineRule="exact"/>
        <w:ind w:firstLine="400" w:firstLineChars="200"/>
        <w:rPr>
          <w:rFonts w:ascii="Times New Roman" w:hAnsi="Times New Roman" w:eastAsia="仿宋" w:cs="Times New Roman"/>
          <w:sz w:val="20"/>
          <w:szCs w:val="21"/>
        </w:rPr>
      </w:pPr>
    </w:p>
    <w:p w14:paraId="47A614A7">
      <w:pPr>
        <w:snapToGrid w:val="0"/>
        <w:spacing w:line="360" w:lineRule="exact"/>
        <w:ind w:firstLine="400" w:firstLineChars="200"/>
        <w:rPr>
          <w:rFonts w:ascii="Times New Roman" w:hAnsi="Times New Roman" w:eastAsia="仿宋" w:cs="Times New Roman"/>
          <w:sz w:val="20"/>
          <w:szCs w:val="21"/>
        </w:rPr>
      </w:pPr>
    </w:p>
    <w:p w14:paraId="32946552">
      <w:pPr>
        <w:snapToGrid w:val="0"/>
        <w:spacing w:line="360" w:lineRule="exact"/>
        <w:ind w:firstLine="400" w:firstLineChars="200"/>
        <w:rPr>
          <w:rFonts w:ascii="Times New Roman" w:hAnsi="Times New Roman" w:eastAsia="仿宋" w:cs="Times New Roman"/>
          <w:sz w:val="20"/>
          <w:szCs w:val="21"/>
        </w:rPr>
      </w:pPr>
    </w:p>
    <w:p w14:paraId="1E02D9D8">
      <w:pPr>
        <w:snapToGrid w:val="0"/>
        <w:spacing w:line="360" w:lineRule="exact"/>
        <w:ind w:firstLine="400" w:firstLineChars="200"/>
        <w:rPr>
          <w:rFonts w:ascii="Times New Roman" w:hAnsi="Times New Roman" w:eastAsia="仿宋" w:cs="Times New Roman"/>
          <w:sz w:val="20"/>
          <w:szCs w:val="21"/>
        </w:rPr>
      </w:pPr>
    </w:p>
    <w:p w14:paraId="5BB4D59F">
      <w:pPr>
        <w:snapToGrid w:val="0"/>
        <w:spacing w:line="360" w:lineRule="exact"/>
        <w:ind w:firstLine="400" w:firstLineChars="200"/>
        <w:rPr>
          <w:rFonts w:ascii="Times New Roman" w:hAnsi="Times New Roman" w:eastAsia="仿宋" w:cs="Times New Roman"/>
          <w:sz w:val="20"/>
          <w:szCs w:val="21"/>
        </w:rPr>
      </w:pPr>
    </w:p>
    <w:p w14:paraId="12E7E6E9">
      <w:pPr>
        <w:snapToGrid w:val="0"/>
        <w:spacing w:line="360" w:lineRule="exact"/>
        <w:ind w:firstLine="400" w:firstLineChars="200"/>
        <w:rPr>
          <w:rFonts w:ascii="Times New Roman" w:hAnsi="Times New Roman" w:eastAsia="仿宋" w:cs="Times New Roman"/>
          <w:sz w:val="20"/>
          <w:szCs w:val="21"/>
        </w:rPr>
        <w:sectPr>
          <w:headerReference r:id="rId21" w:type="default"/>
          <w:pgSz w:w="8391" w:h="11907"/>
          <w:pgMar w:top="1440" w:right="1080" w:bottom="1440" w:left="1080" w:header="680" w:footer="992" w:gutter="0"/>
          <w:cols w:space="720" w:num="1"/>
          <w:docGrid w:type="lines" w:linePitch="381" w:charSpace="0"/>
        </w:sectPr>
      </w:pPr>
    </w:p>
    <w:p w14:paraId="74D98E9A">
      <w:pPr>
        <w:keepNext/>
        <w:snapToGrid w:val="0"/>
        <w:spacing w:afterLines="50" w:line="360" w:lineRule="exact"/>
        <w:jc w:val="center"/>
        <w:outlineLvl w:val="1"/>
        <w:rPr>
          <w:rFonts w:ascii="Times New Roman" w:hAnsi="Times New Roman" w:eastAsia="仿宋" w:cs="Times New Roman"/>
          <w:b/>
          <w:bCs/>
          <w:sz w:val="22"/>
          <w:szCs w:val="24"/>
        </w:rPr>
      </w:pPr>
      <w:bookmarkStart w:id="187" w:name="_Toc163910354"/>
      <w:r>
        <w:rPr>
          <w:rFonts w:hint="eastAsia" w:ascii="Times New Roman" w:hAnsi="Times New Roman" w:eastAsia="仿宋" w:cs="Times New Roman"/>
          <w:b/>
          <w:bCs/>
          <w:sz w:val="22"/>
          <w:szCs w:val="24"/>
        </w:rPr>
        <w:t>12</w:t>
      </w:r>
      <w:r>
        <w:rPr>
          <w:rFonts w:ascii="Times New Roman" w:hAnsi="Times New Roman" w:eastAsia="仿宋" w:cs="Times New Roman"/>
          <w:b/>
          <w:bCs/>
          <w:sz w:val="22"/>
          <w:szCs w:val="24"/>
        </w:rPr>
        <w:t>. Aerospace, Aviation, and Marine</w:t>
      </w:r>
      <w:bookmarkEnd w:id="187"/>
      <w:r>
        <w:rPr>
          <w:rFonts w:ascii="Times New Roman" w:hAnsi="Times New Roman" w:eastAsia="仿宋" w:cs="Times New Roman"/>
          <w:b/>
          <w:bCs/>
          <w:sz w:val="22"/>
          <w:szCs w:val="24"/>
        </w:rPr>
        <w:t xml:space="preserve"> Industry</w:t>
      </w:r>
    </w:p>
    <w:p w14:paraId="0E22E74B">
      <w:pPr>
        <w:snapToGrid w:val="0"/>
        <w:spacing w:line="360" w:lineRule="exact"/>
        <w:ind w:firstLine="442" w:firstLineChars="200"/>
        <w:outlineLvl w:val="2"/>
        <w:rPr>
          <w:rFonts w:ascii="Times New Roman" w:hAnsi="Times New Roman" w:eastAsia="黑体" w:cs="Times New Roman"/>
          <w:b/>
          <w:sz w:val="22"/>
        </w:rPr>
      </w:pPr>
      <w:bookmarkStart w:id="188" w:name="_Toc163910355"/>
      <w:r>
        <w:rPr>
          <w:rFonts w:ascii="Times New Roman" w:hAnsi="Times New Roman" w:eastAsia="黑体" w:cs="Times New Roman"/>
          <w:b/>
          <w:sz w:val="22"/>
        </w:rPr>
        <w:t>(1) Development Status</w:t>
      </w:r>
      <w:bookmarkEnd w:id="188"/>
    </w:p>
    <w:p w14:paraId="67DCFC16">
      <w:pPr>
        <w:snapToGrid w:val="0"/>
        <w:spacing w:line="360" w:lineRule="exact"/>
        <w:ind w:firstLine="440" w:firstLineChars="200"/>
        <w:rPr>
          <w:rFonts w:hint="eastAsia" w:ascii="Times New Roman" w:hAnsi="Times New Roman" w:eastAsia="仿宋" w:cs="Times New Roman"/>
          <w:sz w:val="22"/>
        </w:rPr>
      </w:pPr>
      <w:r>
        <w:rPr>
          <w:rFonts w:hint="eastAsia" w:ascii="Times New Roman" w:hAnsi="Times New Roman" w:eastAsia="仿宋" w:cs="Times New Roman"/>
          <w:sz w:val="22"/>
        </w:rPr>
        <w:t>In 2024, the revenue of Hunan's aerospace, aviation, and Beidou industry chain reached 121.25 billion yuan, a year-on-year increase of 17.9%. Hunan is one of the birthplaces of China's aerospace and aviation technology and has developed into a significant national base for the R&amp;D and manufacturing of small and medium-sized aero-engines, aircraft landing systems, and comprehensive aircraft maintenance and support. Notably, its small and medium-sized aero-engines hold a 90% share in the domestic market, reflecting a strong industrial foundation and deep technological accumulation. Furthermore, Hunan is the first province in China to implement a comprehensive low-altitude airspace management reform pilot and hosts the world-leading, domestically unique large aircraft ground dynamics test platform.</w:t>
      </w:r>
    </w:p>
    <w:p w14:paraId="74BBEF0C">
      <w:pPr>
        <w:snapToGrid w:val="0"/>
        <w:spacing w:line="360" w:lineRule="exact"/>
        <w:ind w:firstLine="440" w:firstLineChars="200"/>
        <w:rPr>
          <w:rFonts w:hint="eastAsia" w:ascii="Times New Roman" w:hAnsi="Times New Roman" w:eastAsia="仿宋" w:cs="Times New Roman"/>
          <w:sz w:val="22"/>
        </w:rPr>
      </w:pPr>
      <w:r>
        <w:rPr>
          <w:rFonts w:hint="eastAsia" w:ascii="Times New Roman" w:hAnsi="Times New Roman" w:eastAsia="仿宋" w:cs="Times New Roman"/>
          <w:sz w:val="22"/>
        </w:rPr>
        <w:t>Concurrently, Hunan serves as the source of core Beidou technologies, possessing 80% of the nation's core technological resources in the Beidou industry and having established the country's first Beidou Open Laboratory. The province hosts 515 upstream and downstream Beidou enterprises, forming a complete industrial chain covering the space segment, ground segment, and user segment. The Beidou Scale Application International Summit is permanently hosted in Hunan, which is accelerating the development of a leading zone for Beidou scale application.</w:t>
      </w:r>
    </w:p>
    <w:p w14:paraId="3467F164">
      <w:pPr>
        <w:snapToGrid w:val="0"/>
        <w:spacing w:beforeLines="50"/>
        <w:rPr>
          <w:rFonts w:ascii="Times New Roman" w:hAnsi="Times New Roman" w:eastAsia="仿宋" w:cs="Times New Roman"/>
          <w:sz w:val="20"/>
          <w:szCs w:val="21"/>
        </w:rPr>
      </w:pPr>
      <w:r>
        <w:drawing>
          <wp:inline distT="0" distB="0" distL="0" distR="0">
            <wp:extent cx="4042410" cy="18288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049536" cy="1831933"/>
                    </a:xfrm>
                    <a:prstGeom prst="rect">
                      <a:avLst/>
                    </a:prstGeom>
                    <a:noFill/>
                    <a:ln>
                      <a:noFill/>
                    </a:ln>
                  </pic:spPr>
                </pic:pic>
              </a:graphicData>
            </a:graphic>
          </wp:inline>
        </w:drawing>
      </w:r>
    </w:p>
    <w:p w14:paraId="34E128FC">
      <w:pPr>
        <w:keepNext/>
        <w:adjustRightInd w:val="0"/>
        <w:snapToGrid w:val="0"/>
        <w:spacing w:beforeLines="50" w:afterLines="20"/>
        <w:jc w:val="center"/>
        <w:rPr>
          <w:rFonts w:ascii="Times New Roman" w:hAnsi="Times New Roman" w:eastAsia="黑体" w:cs="Times New Roman"/>
          <w:sz w:val="18"/>
          <w:szCs w:val="21"/>
        </w:rPr>
      </w:pPr>
      <w:r>
        <w:rPr>
          <w:rFonts w:ascii="Times New Roman" w:hAnsi="Times New Roman" w:eastAsia="黑体" w:cs="Times New Roman"/>
          <w:sz w:val="18"/>
          <w:szCs w:val="21"/>
        </w:rPr>
        <w:t>Leading enterprises in the aerospace, aviation, and marine industry</w:t>
      </w:r>
    </w:p>
    <w:p w14:paraId="029A72D2">
      <w:pPr>
        <w:snapToGrid w:val="0"/>
        <w:spacing w:line="360" w:lineRule="exact"/>
        <w:ind w:firstLine="440" w:firstLineChars="200"/>
        <w:rPr>
          <w:rFonts w:ascii="Times New Roman" w:hAnsi="Times New Roman" w:eastAsia="黑体" w:cs="Times New Roman"/>
          <w:sz w:val="18"/>
          <w:szCs w:val="21"/>
        </w:rPr>
      </w:pPr>
      <w:r>
        <w:rPr>
          <w:rFonts w:ascii="Times New Roman" w:hAnsi="Times New Roman" w:eastAsia="仿宋" w:cs="Times New Roman"/>
          <w:sz w:val="22"/>
          <w:szCs w:val="24"/>
        </w:rPr>
        <w:t xml:space="preserve">Moreover, </w:t>
      </w:r>
      <w:r>
        <w:rPr>
          <w:rFonts w:ascii="Times New Roman" w:hAnsi="Times New Roman" w:eastAsia="仿宋" w:cs="Times New Roman"/>
          <w:sz w:val="22"/>
        </w:rPr>
        <w:t>Hunan’s marine engineering equipment industry has made initial progress with the Xiangtan Electric Manufacturing Group-centered Xiangtan Marine Engineering Equipment Cluster, and Yuanjiang Shipbuilding Industrial Park led by companies such as Sunbird Yacht, Hunan Jinhang Shipbuilding, and Hunan Haiquan Yacht.</w:t>
      </w:r>
    </w:p>
    <w:p w14:paraId="47150F43">
      <w:pPr>
        <w:snapToGrid w:val="0"/>
        <w:spacing w:line="360" w:lineRule="exact"/>
        <w:ind w:firstLine="442" w:firstLineChars="200"/>
        <w:outlineLvl w:val="2"/>
        <w:rPr>
          <w:rFonts w:ascii="Times New Roman" w:hAnsi="Times New Roman" w:eastAsia="黑体" w:cs="Times New Roman"/>
          <w:b/>
          <w:sz w:val="22"/>
        </w:rPr>
      </w:pPr>
      <w:bookmarkStart w:id="189" w:name="_Toc163910356"/>
      <w:r>
        <w:rPr>
          <w:rFonts w:ascii="Times New Roman" w:hAnsi="Times New Roman" w:eastAsia="黑体" w:cs="Times New Roman"/>
          <w:b/>
          <w:sz w:val="22"/>
        </w:rPr>
        <w:t>(2) Development Target</w:t>
      </w:r>
      <w:bookmarkEnd w:id="189"/>
    </w:p>
    <w:p w14:paraId="6B85BB34">
      <w:pPr>
        <w:widowControl/>
        <w:snapToGrid w:val="0"/>
        <w:spacing w:line="36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Focusing on the development of aerospace, aviation, and marine equipment, we aim to build an innovation-leading zone for Beidou satellite navigation (BDS), a comprehensive application zone for the general aviation industry, and a distinctive industrial cluster zone for marine engineering equipment. By 2027, we will have achieved an aerospace industry output value of over 200 billion yuan by 2027, and will have created a world-class aerospace, aviation, and marine industry cluster.</w:t>
      </w:r>
    </w:p>
    <w:p w14:paraId="21E44FBF">
      <w:pPr>
        <w:keepNext/>
        <w:snapToGrid w:val="0"/>
        <w:spacing w:line="360" w:lineRule="exact"/>
        <w:ind w:firstLine="442" w:firstLineChars="200"/>
        <w:outlineLvl w:val="2"/>
        <w:rPr>
          <w:rFonts w:ascii="Times New Roman" w:hAnsi="Times New Roman" w:eastAsia="黑体" w:cs="Times New Roman"/>
          <w:b/>
          <w:sz w:val="22"/>
        </w:rPr>
      </w:pPr>
      <w:bookmarkStart w:id="190" w:name="_Toc129701396"/>
      <w:bookmarkStart w:id="191" w:name="_Toc130669179"/>
      <w:bookmarkStart w:id="192" w:name="_Toc130838068"/>
      <w:bookmarkStart w:id="193" w:name="_Toc131156310"/>
      <w:bookmarkStart w:id="194" w:name="_Toc130837171"/>
      <w:bookmarkStart w:id="195" w:name="_Toc128033746"/>
      <w:bookmarkStart w:id="196" w:name="_Toc16338"/>
      <w:bookmarkStart w:id="197" w:name="_Toc128041778"/>
      <w:bookmarkStart w:id="198" w:name="_Toc129010602"/>
      <w:bookmarkStart w:id="199" w:name="_Toc163910357"/>
      <w:r>
        <w:rPr>
          <w:rFonts w:ascii="Times New Roman" w:hAnsi="Times New Roman" w:eastAsia="黑体" w:cs="Times New Roman"/>
          <w:b/>
          <w:sz w:val="22"/>
        </w:rPr>
        <w:t>(3) Polic</w:t>
      </w:r>
      <w:bookmarkEnd w:id="190"/>
      <w:bookmarkEnd w:id="191"/>
      <w:bookmarkEnd w:id="192"/>
      <w:bookmarkEnd w:id="193"/>
      <w:bookmarkEnd w:id="194"/>
      <w:bookmarkEnd w:id="195"/>
      <w:bookmarkEnd w:id="196"/>
      <w:bookmarkEnd w:id="197"/>
      <w:bookmarkEnd w:id="198"/>
      <w:r>
        <w:rPr>
          <w:rFonts w:ascii="Times New Roman" w:hAnsi="Times New Roman" w:eastAsia="黑体" w:cs="Times New Roman"/>
          <w:b/>
          <w:sz w:val="22"/>
        </w:rPr>
        <w:t>y Support</w:t>
      </w:r>
      <w:bookmarkEnd w:id="199"/>
    </w:p>
    <w:p w14:paraId="7CCFFEBA">
      <w:pPr>
        <w:pStyle w:val="85"/>
        <w:numPr>
          <w:ilvl w:val="0"/>
          <w:numId w:val="3"/>
        </w:numPr>
        <w:ind w:left="426" w:hanging="142" w:firstLineChars="0"/>
        <w:rPr>
          <w:i/>
          <w:iCs/>
        </w:rPr>
      </w:pPr>
      <w:r>
        <w:rPr>
          <w:i/>
          <w:iCs/>
        </w:rPr>
        <w:t>Policy to Support the Development of General Aviation Industry</w:t>
      </w:r>
    </w:p>
    <w:p w14:paraId="5E5D6B1A">
      <w:pPr>
        <w:rPr>
          <w:i/>
          <w:iCs/>
        </w:rPr>
      </w:pPr>
      <w:r>
        <w:rPr>
          <w:iCs/>
        </w:rPr>
        <mc:AlternateContent>
          <mc:Choice Requires="wps">
            <w:drawing>
              <wp:anchor distT="0" distB="0" distL="114300" distR="114300" simplePos="0" relativeHeight="251674624" behindDoc="0" locked="0" layoutInCell="1" allowOverlap="1">
                <wp:simplePos x="0" y="0"/>
                <wp:positionH relativeFrom="column">
                  <wp:posOffset>160655</wp:posOffset>
                </wp:positionH>
                <wp:positionV relativeFrom="paragraph">
                  <wp:posOffset>173990</wp:posOffset>
                </wp:positionV>
                <wp:extent cx="3815080" cy="1958340"/>
                <wp:effectExtent l="6350" t="132080" r="19050" b="12700"/>
                <wp:wrapNone/>
                <wp:docPr id="36" name="矩形标注 45"/>
                <wp:cNvGraphicFramePr/>
                <a:graphic xmlns:a="http://schemas.openxmlformats.org/drawingml/2006/main">
                  <a:graphicData uri="http://schemas.microsoft.com/office/word/2010/wordprocessingShape">
                    <wps:wsp>
                      <wps:cNvSpPr/>
                      <wps:spPr>
                        <a:xfrm>
                          <a:off x="0" y="0"/>
                          <a:ext cx="3815080" cy="1958340"/>
                        </a:xfrm>
                        <a:prstGeom prst="wedgeRectCallout">
                          <a:avLst>
                            <a:gd name="adj1" fmla="val -41856"/>
                            <a:gd name="adj2" fmla="val -56181"/>
                          </a:avLst>
                        </a:prstGeom>
                        <a:solidFill>
                          <a:srgbClr val="E2EFD9"/>
                        </a:solidFill>
                        <a:ln w="12700" cap="flat" cmpd="sng">
                          <a:solidFill>
                            <a:srgbClr val="A8D08D"/>
                          </a:solidFill>
                          <a:prstDash val="solid"/>
                          <a:miter/>
                          <a:headEnd type="none" w="med" len="med"/>
                          <a:tailEnd type="none" w="med" len="med"/>
                        </a:ln>
                      </wps:spPr>
                      <wps:txbx>
                        <w:txbxContent>
                          <w:p w14:paraId="4C37E0F8">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6CD08AD4">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Improving the GA manufacturing. </w:t>
                            </w:r>
                            <w:r>
                              <w:rPr>
                                <w:rFonts w:ascii="Times New Roman" w:hAnsi="Times New Roman" w:cs="Times New Roman"/>
                                <w:color w:val="3F3F3F" w:themeColor="text1" w:themeTint="BF"/>
                                <w:sz w:val="18"/>
                                <w:szCs w:val="18"/>
                              </w:rPr>
                              <w:t>Hunan-based aviation manufacturers that have obtained national type certificates and production licenses for GA aircraft (excluding unmanned aircraft weighing less than 150 kg at takeoff), a lump sum reward of up to 10 million yuan will be granted. Building high-quality general aviation towns. Once certified as general aviation towns, the provincial finance will provide one-time support of 10 million yuan.</w:t>
                            </w:r>
                          </w:p>
                          <w:p w14:paraId="05EA1339">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Incentivizing GA enterprises to settle in Hunan.</w:t>
                            </w:r>
                            <w:r>
                              <w:rPr>
                                <w:rFonts w:ascii="Times New Roman" w:hAnsi="Times New Roman" w:cs="Times New Roman"/>
                                <w:color w:val="3F3F3F" w:themeColor="text1" w:themeTint="BF"/>
                                <w:sz w:val="18"/>
                                <w:szCs w:val="18"/>
                              </w:rPr>
                              <w:t xml:space="preserve"> For GA-related enterprises newly settling in Hunan and supporting companies newly established by GA enterprises in the province, 50% of the incremental corporate income tax paid by the enterprise at the provincial level will be refunded to the local government for supporting their further development.</w:t>
                            </w:r>
                          </w:p>
                          <w:p w14:paraId="46965ACC">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Developing quality GA Towns.</w:t>
                            </w:r>
                            <w:r>
                              <w:rPr>
                                <w:rFonts w:ascii="Times New Roman" w:hAnsi="Times New Roman" w:cs="Times New Roman"/>
                                <w:color w:val="3F3F3F" w:themeColor="text1" w:themeTint="BF"/>
                                <w:sz w:val="18"/>
                                <w:szCs w:val="18"/>
                              </w:rPr>
                              <w:t xml:space="preserve"> Provincial finance will provide a lump sum support of 10 million yuan to certified GA Towns.</w:t>
                            </w:r>
                          </w:p>
                        </w:txbxContent>
                      </wps:txbx>
                      <wps:bodyPr anchor="ctr" anchorCtr="0" upright="1"/>
                    </wps:wsp>
                  </a:graphicData>
                </a:graphic>
              </wp:anchor>
            </w:drawing>
          </mc:Choice>
          <mc:Fallback>
            <w:pict>
              <v:shape id="矩形标注 45" o:spid="_x0000_s1026" o:spt="61" type="#_x0000_t61" style="position:absolute;left:0pt;margin-left:12.65pt;margin-top:13.7pt;height:154.2pt;width:300.4pt;z-index:251674624;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" adj="1759,-1335">
                <v:fill on="t" focussize="0,0"/>
                <v:stroke weight="1pt" color="#A8D08D" joinstyle="miter"/>
                <v:imagedata o:title=""/>
                <o:lock v:ext="edit" aspectratio="f"/>
                <v:textbox>
                  <w:txbxContent>
                    <w:p w14:paraId="4C37E0F8">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6CD08AD4">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Improving the GA manufacturing. </w:t>
                      </w:r>
                      <w:r>
                        <w:rPr>
                          <w:rFonts w:ascii="Times New Roman" w:hAnsi="Times New Roman" w:cs="Times New Roman"/>
                          <w:color w:val="3F3F3F" w:themeColor="text1" w:themeTint="BF"/>
                          <w:sz w:val="18"/>
                          <w:szCs w:val="18"/>
                        </w:rPr>
                        <w:t>Hunan-based aviation manufacturers that have obtained national type certificates and production licenses for GA aircraft (excluding unmanned aircraft weighing less than 150 kg at takeoff), a lump sum reward of up to 10 million yuan will be granted. Building high-quality general aviation towns. Once certified as general aviation towns, the provincial finance will provide one-time support of 10 million yuan.</w:t>
                      </w:r>
                    </w:p>
                    <w:p w14:paraId="05EA1339">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Incentivizing GA enterprises to settle in Hunan.</w:t>
                      </w:r>
                      <w:r>
                        <w:rPr>
                          <w:rFonts w:ascii="Times New Roman" w:hAnsi="Times New Roman" w:cs="Times New Roman"/>
                          <w:color w:val="3F3F3F" w:themeColor="text1" w:themeTint="BF"/>
                          <w:sz w:val="18"/>
                          <w:szCs w:val="18"/>
                        </w:rPr>
                        <w:t xml:space="preserve"> For GA-related enterprises newly settling in Hunan and supporting companies newly established by GA enterprises in the province, 50% of the incremental corporate income tax paid by the enterprise at the provincial level will be refunded to the local government for supporting their further development.</w:t>
                      </w:r>
                    </w:p>
                    <w:p w14:paraId="46965ACC">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Developing quality GA Towns.</w:t>
                      </w:r>
                      <w:r>
                        <w:rPr>
                          <w:rFonts w:ascii="Times New Roman" w:hAnsi="Times New Roman" w:cs="Times New Roman"/>
                          <w:color w:val="3F3F3F" w:themeColor="text1" w:themeTint="BF"/>
                          <w:sz w:val="18"/>
                          <w:szCs w:val="18"/>
                        </w:rPr>
                        <w:t xml:space="preserve"> Provincial finance will provide a lump sum support of 10 million yuan to certified GA Towns.</w:t>
                      </w:r>
                    </w:p>
                  </w:txbxContent>
                </v:textbox>
              </v:shape>
            </w:pict>
          </mc:Fallback>
        </mc:AlternateContent>
      </w:r>
    </w:p>
    <w:p w14:paraId="3E7CC845">
      <w:pPr>
        <w:rPr>
          <w:i/>
          <w:iCs/>
        </w:rPr>
      </w:pPr>
    </w:p>
    <w:p w14:paraId="3EB08E2D">
      <w:pPr>
        <w:rPr>
          <w:i/>
          <w:iCs/>
        </w:rPr>
      </w:pPr>
    </w:p>
    <w:p w14:paraId="57E0BAC7">
      <w:pPr>
        <w:rPr>
          <w:i/>
          <w:iCs/>
        </w:rPr>
      </w:pPr>
    </w:p>
    <w:p w14:paraId="23019767">
      <w:pPr>
        <w:rPr>
          <w:i/>
          <w:iCs/>
        </w:rPr>
      </w:pPr>
    </w:p>
    <w:p w14:paraId="02C4C5D2">
      <w:pPr>
        <w:rPr>
          <w:i/>
          <w:iCs/>
        </w:rPr>
      </w:pPr>
    </w:p>
    <w:p w14:paraId="6FA9BEF7">
      <w:pPr>
        <w:rPr>
          <w:i/>
          <w:iCs/>
        </w:rPr>
      </w:pPr>
    </w:p>
    <w:p w14:paraId="79C40A63">
      <w:pPr>
        <w:rPr>
          <w:i/>
          <w:iCs/>
        </w:rPr>
      </w:pPr>
    </w:p>
    <w:p w14:paraId="5315300D">
      <w:pPr>
        <w:rPr>
          <w:i/>
          <w:iCs/>
        </w:rPr>
      </w:pPr>
    </w:p>
    <w:p w14:paraId="5721BA78">
      <w:pPr>
        <w:pStyle w:val="85"/>
        <w:numPr>
          <w:ilvl w:val="0"/>
          <w:numId w:val="3"/>
        </w:numPr>
        <w:ind w:left="426" w:hanging="142" w:firstLineChars="0"/>
        <w:rPr>
          <w:i/>
          <w:iCs/>
        </w:rPr>
      </w:pPr>
      <w:r>
        <w:rPr>
          <w:i/>
          <w:iCs/>
        </w:rPr>
        <w:t xml:space="preserve">14th Five-Year Plan for the Development of Strategic Emerging Industries in Hunan Province </w:t>
      </w:r>
    </w:p>
    <w:p w14:paraId="2E359F44">
      <w:pPr>
        <w:pStyle w:val="85"/>
        <w:numPr>
          <w:ilvl w:val="0"/>
          <w:numId w:val="3"/>
        </w:numPr>
        <w:ind w:left="426" w:hanging="142" w:firstLineChars="0"/>
        <w:rPr>
          <w:i/>
          <w:iCs/>
        </w:rPr>
      </w:pPr>
      <w:r>
        <w:rPr>
          <w:szCs w:val="22"/>
        </w:rPr>
        <mc:AlternateContent>
          <mc:Choice Requires="wps">
            <w:drawing>
              <wp:anchor distT="0" distB="0" distL="114300" distR="114300" simplePos="0" relativeHeight="251689984" behindDoc="0" locked="0" layoutInCell="1" allowOverlap="1">
                <wp:simplePos x="0" y="0"/>
                <wp:positionH relativeFrom="margin">
                  <wp:posOffset>3063240</wp:posOffset>
                </wp:positionH>
                <wp:positionV relativeFrom="margin">
                  <wp:posOffset>104775</wp:posOffset>
                </wp:positionV>
                <wp:extent cx="914400" cy="962025"/>
                <wp:effectExtent l="6350" t="6350" r="8890" b="6985"/>
                <wp:wrapSquare wrapText="bothSides"/>
                <wp:docPr id="51" name="文本框 28"/>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2DB73980">
                            <w:pPr>
                              <w:pStyle w:val="92"/>
                              <w:adjustRightInd w:val="0"/>
                            </w:pPr>
                            <w:r>
                              <w:drawing>
                                <wp:inline distT="0" distB="0" distL="0" distR="0">
                                  <wp:extent cx="722630" cy="722630"/>
                                  <wp:effectExtent l="0" t="0" r="1270" b="127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75">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2B5B086E">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3D887489">
                            <w:pPr>
                              <w:pStyle w:val="92"/>
                              <w:adjustRightInd w:val="0"/>
                            </w:pPr>
                          </w:p>
                        </w:txbxContent>
                      </wps:txbx>
                      <wps:bodyPr upright="1"/>
                    </wps:wsp>
                  </a:graphicData>
                </a:graphic>
              </wp:anchor>
            </w:drawing>
          </mc:Choice>
          <mc:Fallback>
            <w:pict>
              <v:shape id="文本框 28" o:spid="_x0000_s1026" o:spt="202" type="#_x0000_t202" style="position:absolute;left:0pt;margin-left:241.2pt;margin-top:8.25pt;height:75.75pt;width:72pt;mso-position-horizontal-relative:margin;mso-position-vertical-relative:margin;mso-wrap-distance-bottom:0pt;mso-wrap-distance-left:9pt;mso-wrap-distance-right:9pt;mso-wrap-distance-top:0pt;z-index:251689984;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">
                <v:fill on="f" focussize="0,0"/>
                <v:stroke weight="1pt" color="#A8D08D" joinstyle="miter"/>
                <v:imagedata o:title=""/>
                <o:lock v:ext="edit" aspectratio="f"/>
                <v:textbox>
                  <w:txbxContent>
                    <w:p w14:paraId="2DB73980">
                      <w:pPr>
                        <w:pStyle w:val="92"/>
                        <w:adjustRightInd w:val="0"/>
                      </w:pPr>
                      <w:r>
                        <w:drawing>
                          <wp:inline distT="0" distB="0" distL="0" distR="0">
                            <wp:extent cx="722630" cy="722630"/>
                            <wp:effectExtent l="0" t="0" r="1270" b="127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75">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2B5B086E">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3D887489">
                      <w:pPr>
                        <w:pStyle w:val="92"/>
                        <w:adjustRightInd w:val="0"/>
                      </w:pPr>
                    </w:p>
                  </w:txbxContent>
                </v:textbox>
                <w10:wrap type="square"/>
              </v:shape>
            </w:pict>
          </mc:Fallback>
        </mc:AlternateContent>
      </w:r>
      <w:r>
        <w:rPr>
          <w:i/>
          <w:iCs/>
        </w:rPr>
        <w:t xml:space="preserve">Work Plan for Developing General Aviation Industry in Hunan Province </w:t>
      </w:r>
    </w:p>
    <w:p w14:paraId="7ABF3E7E">
      <w:pPr>
        <w:pStyle w:val="85"/>
        <w:numPr>
          <w:ilvl w:val="0"/>
          <w:numId w:val="3"/>
        </w:numPr>
        <w:ind w:left="426" w:hanging="142" w:firstLineChars="0"/>
        <w:rPr>
          <w:i/>
          <w:iCs/>
        </w:rPr>
      </w:pPr>
      <w:r>
        <w:rPr>
          <w:i/>
          <w:iCs/>
        </w:rPr>
        <w:t>Development Plan for BDS Industry in Hunan Province (2023-2027)</w:t>
      </w:r>
    </w:p>
    <w:p w14:paraId="3FD1DF2A">
      <w:pPr>
        <w:pStyle w:val="85"/>
        <w:numPr>
          <w:ilvl w:val="0"/>
          <w:numId w:val="3"/>
        </w:numPr>
        <w:ind w:left="426" w:hanging="142" w:firstLineChars="0"/>
        <w:rPr>
          <w:i/>
          <w:iCs/>
        </w:rPr>
      </w:pPr>
      <w:r>
        <w:rPr>
          <w:i/>
          <w:iCs/>
        </w:rPr>
        <w:t>Policy Measures to Accelerate BDS Large-scale Application in Hunan Province</w:t>
      </w:r>
    </w:p>
    <w:p w14:paraId="69E975F0">
      <w:pPr>
        <w:pStyle w:val="85"/>
        <w:numPr>
          <w:ilvl w:val="0"/>
          <w:numId w:val="3"/>
        </w:numPr>
        <w:ind w:left="426" w:hanging="142" w:firstLineChars="0"/>
        <w:rPr>
          <w:i/>
          <w:iCs/>
        </w:rPr>
      </w:pPr>
      <w:r>
        <w:rPr>
          <w:i/>
          <w:iCs/>
        </w:rPr>
        <w:t>Regulations on Promoting Advanced Manufacturing Industry in Hunan Province</w:t>
      </w:r>
    </w:p>
    <w:p w14:paraId="14F4F466">
      <w:pPr>
        <w:pStyle w:val="85"/>
        <w:numPr>
          <w:ilvl w:val="0"/>
          <w:numId w:val="3"/>
        </w:numPr>
        <w:ind w:left="426" w:hanging="142" w:firstLineChars="0"/>
        <w:rPr>
          <w:i/>
          <w:iCs/>
        </w:rPr>
      </w:pPr>
      <w:bookmarkStart w:id="200" w:name="_Hlk163583211"/>
      <w:r>
        <w:rPr>
          <w:i/>
          <w:iCs/>
        </w:rPr>
        <w:t>Policy Measures to Support the Development of Advanced Manufacturing Supply Chain</w:t>
      </w:r>
    </w:p>
    <w:bookmarkEnd w:id="200"/>
    <w:p w14:paraId="4A6E3643">
      <w:pPr>
        <w:pStyle w:val="85"/>
        <w:numPr>
          <w:ilvl w:val="0"/>
          <w:numId w:val="3"/>
        </w:numPr>
        <w:ind w:left="426" w:hanging="142" w:firstLineChars="0"/>
        <w:rPr>
          <w:i/>
          <w:iCs/>
        </w:rPr>
      </w:pPr>
      <w:bookmarkStart w:id="201" w:name="_Hlk163574998"/>
      <w:r>
        <w:rPr>
          <w:i/>
          <w:iCs/>
        </w:rPr>
        <w:t>Implementation Rules on Policies Measures to Support the Development of Advanced Manufacturing Supply Chain</w:t>
      </w:r>
    </w:p>
    <w:bookmarkEnd w:id="201"/>
    <w:p w14:paraId="7FFE3719">
      <w:pPr>
        <w:pStyle w:val="85"/>
        <w:numPr>
          <w:ilvl w:val="0"/>
          <w:numId w:val="3"/>
        </w:numPr>
        <w:ind w:left="426" w:hanging="142" w:firstLineChars="0"/>
        <w:rPr>
          <w:i/>
          <w:iCs/>
        </w:rPr>
      </w:pPr>
      <w:bookmarkStart w:id="202" w:name="_Hlk163583237"/>
      <w:r>
        <w:rPr>
          <w:i/>
          <w:iCs/>
        </w:rPr>
        <w:t>Fiscal Support Policy for Establishing a Hub of Advanced Manufacturing Industry of National Importance in Hunan Province</w:t>
      </w:r>
    </w:p>
    <w:bookmarkEnd w:id="202"/>
    <w:p w14:paraId="249B9C4D">
      <w:pPr>
        <w:pStyle w:val="85"/>
        <w:numPr>
          <w:ilvl w:val="0"/>
          <w:numId w:val="3"/>
        </w:numPr>
        <w:ind w:left="426" w:hanging="142" w:firstLineChars="0"/>
        <w:rPr>
          <w:i/>
          <w:iCs/>
        </w:rPr>
      </w:pPr>
      <w:bookmarkStart w:id="203" w:name="_Hlk163583250"/>
      <w:r>
        <w:rPr>
          <w:i/>
          <w:iCs/>
        </w:rPr>
        <w:t>Plan for the Layout and Development of Provincial Parks of Supporting Industries for Major Advanced Manufacturing Industries</w:t>
      </w:r>
    </w:p>
    <w:bookmarkEnd w:id="203"/>
    <w:p w14:paraId="29390A48">
      <w:pPr>
        <w:keepNext/>
        <w:adjustRightInd w:val="0"/>
        <w:snapToGrid w:val="0"/>
        <w:spacing w:beforeLines="50"/>
        <w:ind w:firstLine="442"/>
        <w:jc w:val="center"/>
        <w:rPr>
          <w:rFonts w:ascii="Times New Roman" w:hAnsi="Times New Roman" w:eastAsia="黑体" w:cs="Times New Roman"/>
          <w:sz w:val="18"/>
          <w:szCs w:val="21"/>
        </w:rPr>
      </w:pPr>
      <w:r>
        <w:rPr>
          <w:rFonts w:ascii="Times New Roman" w:hAnsi="Times New Roman" w:eastAsia="黑体" w:cs="Times New Roman"/>
          <w:sz w:val="18"/>
          <w:szCs w:val="18"/>
        </w:rPr>
        <w:t>Funds supporting the aerospace, aviation, and marine industry</w:t>
      </w:r>
    </w:p>
    <w:tbl>
      <w:tblPr>
        <w:tblStyle w:val="139"/>
        <w:tblW w:w="0" w:type="auto"/>
        <w:tblInd w:w="0" w:type="dxa"/>
        <w:tblBorders>
          <w:top w:val="single" w:color="9BBB59" w:sz="4" w:space="0"/>
          <w:left w:val="none" w:color="auto" w:sz="0" w:space="0"/>
          <w:bottom w:val="single" w:color="9BBB59"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1"/>
        <w:gridCol w:w="1467"/>
        <w:gridCol w:w="1509"/>
        <w:gridCol w:w="441"/>
        <w:gridCol w:w="778"/>
        <w:gridCol w:w="1981"/>
      </w:tblGrid>
      <w:tr w14:paraId="1079F6E7">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rPr>
          <w:tblHeader/>
        </w:trPr>
        <w:tc>
          <w:tcPr>
            <w:tcW w:w="0" w:type="auto"/>
            <w:tcBorders>
              <w:bottom w:val="single" w:color="9BBB59" w:sz="4" w:space="0"/>
              <w:insideH w:val="single" w:sz="4" w:space="0"/>
            </w:tcBorders>
            <w:vAlign w:val="center"/>
          </w:tcPr>
          <w:p w14:paraId="6D0EBC7A">
            <w:pPr>
              <w:widowControl/>
              <w:adjustRightInd w:val="0"/>
              <w:snapToGrid w:val="0"/>
              <w:spacing w:line="20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No.</w:t>
            </w:r>
          </w:p>
        </w:tc>
        <w:tc>
          <w:tcPr>
            <w:tcW w:w="0" w:type="auto"/>
            <w:tcBorders>
              <w:bottom w:val="single" w:color="9BBB59" w:sz="4" w:space="0"/>
              <w:insideH w:val="single" w:sz="4" w:space="0"/>
            </w:tcBorders>
            <w:vAlign w:val="center"/>
          </w:tcPr>
          <w:p w14:paraId="4855C5CE">
            <w:pPr>
              <w:widowControl/>
              <w:adjustRightInd w:val="0"/>
              <w:snapToGrid w:val="0"/>
              <w:spacing w:line="20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Fund</w:t>
            </w:r>
          </w:p>
        </w:tc>
        <w:tc>
          <w:tcPr>
            <w:tcW w:w="0" w:type="auto"/>
            <w:tcBorders>
              <w:bottom w:val="single" w:color="9BBB59" w:sz="4" w:space="0"/>
              <w:insideH w:val="single" w:sz="4" w:space="0"/>
            </w:tcBorders>
            <w:vAlign w:val="center"/>
          </w:tcPr>
          <w:p w14:paraId="72A64281">
            <w:pPr>
              <w:widowControl/>
              <w:adjustRightInd w:val="0"/>
              <w:snapToGrid w:val="0"/>
              <w:spacing w:line="20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Sector</w:t>
            </w:r>
          </w:p>
        </w:tc>
        <w:tc>
          <w:tcPr>
            <w:tcW w:w="0" w:type="auto"/>
            <w:tcBorders>
              <w:bottom w:val="single" w:color="9BBB59" w:sz="4" w:space="0"/>
              <w:insideH w:val="single" w:sz="4" w:space="0"/>
            </w:tcBorders>
            <w:vAlign w:val="center"/>
          </w:tcPr>
          <w:p w14:paraId="25BAFE25">
            <w:pPr>
              <w:widowControl/>
              <w:adjustRightInd w:val="0"/>
              <w:snapToGrid w:val="0"/>
              <w:spacing w:line="20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Est. Time</w:t>
            </w:r>
          </w:p>
        </w:tc>
        <w:tc>
          <w:tcPr>
            <w:tcW w:w="0" w:type="auto"/>
            <w:tcBorders>
              <w:bottom w:val="single" w:color="9BBB59" w:sz="4" w:space="0"/>
              <w:insideH w:val="single" w:sz="4" w:space="0"/>
            </w:tcBorders>
            <w:vAlign w:val="center"/>
          </w:tcPr>
          <w:p w14:paraId="13117188">
            <w:pPr>
              <w:widowControl/>
              <w:adjustRightInd w:val="0"/>
              <w:snapToGrid w:val="0"/>
              <w:spacing w:line="20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Scale</w:t>
            </w:r>
          </w:p>
          <w:p w14:paraId="4D238F55">
            <w:pPr>
              <w:widowControl/>
              <w:adjustRightInd w:val="0"/>
              <w:snapToGrid w:val="0"/>
              <w:spacing w:line="20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(RMB)</w:t>
            </w:r>
          </w:p>
        </w:tc>
        <w:tc>
          <w:tcPr>
            <w:tcW w:w="0" w:type="auto"/>
            <w:tcBorders>
              <w:bottom w:val="single" w:color="9BBB59" w:sz="4" w:space="0"/>
              <w:insideH w:val="single" w:sz="4" w:space="0"/>
            </w:tcBorders>
            <w:vAlign w:val="center"/>
          </w:tcPr>
          <w:p w14:paraId="43E699F3">
            <w:pPr>
              <w:widowControl/>
              <w:adjustRightInd w:val="0"/>
              <w:snapToGrid w:val="0"/>
              <w:spacing w:line="200" w:lineRule="exact"/>
              <w:ind w:left="-105" w:leftChars="-50" w:right="-105" w:rightChars="-50"/>
              <w:jc w:val="center"/>
              <w:rPr>
                <w:rFonts w:ascii="Times New Roman" w:hAnsi="Times New Roman" w:eastAsia="楷体" w:cs="Times New Roman"/>
                <w:b/>
                <w:bCs/>
                <w:color w:val="auto"/>
                <w:kern w:val="0"/>
                <w:sz w:val="18"/>
                <w:szCs w:val="18"/>
              </w:rPr>
            </w:pPr>
            <w:r>
              <w:rPr>
                <w:rFonts w:ascii="Times New Roman" w:hAnsi="Times New Roman" w:eastAsia="楷体" w:cs="Times New Roman"/>
                <w:b/>
                <w:bCs/>
                <w:color w:val="auto"/>
                <w:kern w:val="0"/>
                <w:sz w:val="18"/>
                <w:szCs w:val="18"/>
              </w:rPr>
              <w:t>Remarks</w:t>
            </w:r>
          </w:p>
        </w:tc>
      </w:tr>
      <w:tr w14:paraId="5A0570DD">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0" w:type="auto"/>
            <w:shd w:val="clear" w:color="auto" w:fill="EAF1DD"/>
            <w:vAlign w:val="center"/>
          </w:tcPr>
          <w:p w14:paraId="216DA508">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w:t>
            </w:r>
          </w:p>
        </w:tc>
        <w:tc>
          <w:tcPr>
            <w:tcW w:w="0" w:type="auto"/>
            <w:shd w:val="clear" w:color="auto" w:fill="EAF1DD"/>
            <w:vAlign w:val="center"/>
          </w:tcPr>
          <w:p w14:paraId="6EB02329">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Aerospace Industry Fund</w:t>
            </w:r>
          </w:p>
        </w:tc>
        <w:tc>
          <w:tcPr>
            <w:tcW w:w="0" w:type="auto"/>
            <w:shd w:val="clear" w:color="auto" w:fill="EAF1DD"/>
            <w:vAlign w:val="center"/>
          </w:tcPr>
          <w:p w14:paraId="703D51DD">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Aviation and commercial spaceflight</w:t>
            </w:r>
          </w:p>
        </w:tc>
        <w:tc>
          <w:tcPr>
            <w:tcW w:w="0" w:type="auto"/>
            <w:shd w:val="clear" w:color="auto" w:fill="EAF1DD"/>
            <w:vAlign w:val="center"/>
          </w:tcPr>
          <w:p w14:paraId="3DBB37B7">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2019</w:t>
            </w:r>
          </w:p>
        </w:tc>
        <w:tc>
          <w:tcPr>
            <w:tcW w:w="0" w:type="auto"/>
            <w:shd w:val="clear" w:color="auto" w:fill="EAF1DD"/>
            <w:vAlign w:val="center"/>
          </w:tcPr>
          <w:p w14:paraId="7869E2E4">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Phase I: 3 billion</w:t>
            </w:r>
          </w:p>
        </w:tc>
        <w:tc>
          <w:tcPr>
            <w:tcW w:w="0" w:type="auto"/>
            <w:shd w:val="clear" w:color="auto" w:fill="EAF1DD"/>
            <w:vAlign w:val="center"/>
          </w:tcPr>
          <w:p w14:paraId="589D9F31">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Jointly established by Zhuzhou SDIC, Aero Engine Corporation of China (AECC, Hunan Hi-tech Investment Group, etc.</w:t>
            </w:r>
          </w:p>
        </w:tc>
      </w:tr>
      <w:tr w14:paraId="1017F2F9">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0" w:type="auto"/>
            <w:vAlign w:val="center"/>
          </w:tcPr>
          <w:p w14:paraId="4A31735B">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w:t>
            </w:r>
          </w:p>
        </w:tc>
        <w:tc>
          <w:tcPr>
            <w:tcW w:w="0" w:type="auto"/>
            <w:vAlign w:val="center"/>
          </w:tcPr>
          <w:p w14:paraId="5A1BBC07">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Navigation Industry Investment Fund</w:t>
            </w:r>
          </w:p>
        </w:tc>
        <w:tc>
          <w:tcPr>
            <w:tcW w:w="0" w:type="auto"/>
            <w:vAlign w:val="center"/>
          </w:tcPr>
          <w:p w14:paraId="352910DA">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GA whole industry chain</w:t>
            </w:r>
          </w:p>
        </w:tc>
        <w:tc>
          <w:tcPr>
            <w:tcW w:w="0" w:type="auto"/>
            <w:vAlign w:val="center"/>
          </w:tcPr>
          <w:p w14:paraId="00672EAF">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2022</w:t>
            </w:r>
          </w:p>
        </w:tc>
        <w:tc>
          <w:tcPr>
            <w:tcW w:w="0" w:type="auto"/>
            <w:vAlign w:val="center"/>
          </w:tcPr>
          <w:p w14:paraId="1AA22263">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 billion + expected;</w:t>
            </w:r>
          </w:p>
          <w:p w14:paraId="179341A4">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Phase I: 500 million</w:t>
            </w:r>
          </w:p>
        </w:tc>
        <w:tc>
          <w:tcPr>
            <w:tcW w:w="0" w:type="auto"/>
            <w:vAlign w:val="center"/>
          </w:tcPr>
          <w:p w14:paraId="418B6BEE">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Led by Hunan Provincial Department of Finance and jointly Established by Hunan General Aviation Development and related units.</w:t>
            </w:r>
          </w:p>
        </w:tc>
      </w:tr>
      <w:tr w14:paraId="1B873210">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0" w:type="auto"/>
            <w:shd w:val="clear" w:color="auto" w:fill="EAF1DD"/>
            <w:vAlign w:val="center"/>
          </w:tcPr>
          <w:p w14:paraId="3F0BD137">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3</w:t>
            </w:r>
          </w:p>
        </w:tc>
        <w:tc>
          <w:tcPr>
            <w:tcW w:w="0" w:type="auto"/>
            <w:shd w:val="clear" w:color="auto" w:fill="EAF1DD"/>
            <w:vAlign w:val="center"/>
          </w:tcPr>
          <w:p w14:paraId="182C2422">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Hunan Province Industrial Guidance Fund Aerospace Marine Industry Sub-fund</w:t>
            </w:r>
          </w:p>
        </w:tc>
        <w:tc>
          <w:tcPr>
            <w:tcW w:w="0" w:type="auto"/>
            <w:shd w:val="clear" w:color="auto" w:fill="EAF1DD"/>
            <w:vAlign w:val="center"/>
          </w:tcPr>
          <w:p w14:paraId="6BD426AB">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Aerospace and BDS industry chain in Hunan</w:t>
            </w:r>
          </w:p>
        </w:tc>
        <w:tc>
          <w:tcPr>
            <w:tcW w:w="0" w:type="auto"/>
            <w:shd w:val="clear" w:color="auto" w:fill="EAF1DD"/>
            <w:vAlign w:val="center"/>
          </w:tcPr>
          <w:p w14:paraId="7291AAEF">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2024</w:t>
            </w:r>
          </w:p>
        </w:tc>
        <w:tc>
          <w:tcPr>
            <w:tcW w:w="0" w:type="auto"/>
            <w:shd w:val="clear" w:color="auto" w:fill="EAF1DD"/>
            <w:vAlign w:val="center"/>
          </w:tcPr>
          <w:p w14:paraId="1F1208BC">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3.5 billion +</w:t>
            </w:r>
          </w:p>
        </w:tc>
        <w:tc>
          <w:tcPr>
            <w:tcW w:w="0" w:type="auto"/>
            <w:shd w:val="clear" w:color="auto" w:fill="EAF1DD"/>
            <w:vAlign w:val="center"/>
          </w:tcPr>
          <w:p w14:paraId="6C911E65">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Managed by Hunan Chasing Fund Management.</w:t>
            </w:r>
          </w:p>
        </w:tc>
      </w:tr>
      <w:tr w14:paraId="2AEE27B9">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0" w:type="auto"/>
            <w:vAlign w:val="center"/>
          </w:tcPr>
          <w:p w14:paraId="4F08DF65">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4</w:t>
            </w:r>
          </w:p>
        </w:tc>
        <w:tc>
          <w:tcPr>
            <w:tcW w:w="0" w:type="auto"/>
            <w:vAlign w:val="center"/>
          </w:tcPr>
          <w:p w14:paraId="1637062B">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Zhuzhou Advanced Industrial Cluster Development Fund of Funds (FOF)</w:t>
            </w:r>
          </w:p>
        </w:tc>
        <w:tc>
          <w:tcPr>
            <w:tcW w:w="0" w:type="auto"/>
            <w:vAlign w:val="center"/>
          </w:tcPr>
          <w:p w14:paraId="6E015211">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13 iconic industry chains including aerospace engine, information technology, and BDS application.</w:t>
            </w:r>
          </w:p>
        </w:tc>
        <w:tc>
          <w:tcPr>
            <w:tcW w:w="0" w:type="auto"/>
            <w:vAlign w:val="center"/>
          </w:tcPr>
          <w:p w14:paraId="2C7E12DD">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2022</w:t>
            </w:r>
          </w:p>
        </w:tc>
        <w:tc>
          <w:tcPr>
            <w:tcW w:w="0" w:type="auto"/>
            <w:vAlign w:val="center"/>
          </w:tcPr>
          <w:p w14:paraId="76631C82">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Phase I: 5 billion</w:t>
            </w:r>
          </w:p>
        </w:tc>
        <w:tc>
          <w:tcPr>
            <w:tcW w:w="0" w:type="auto"/>
            <w:vAlign w:val="center"/>
          </w:tcPr>
          <w:p w14:paraId="4BECFFD0">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Led by Zhuzhou Municipal People’s Government, and jointly initiated by Hunan Chasing Financial Holdings and Zhuzhou state-owned enterprises.</w:t>
            </w:r>
          </w:p>
        </w:tc>
      </w:tr>
      <w:tr w14:paraId="4DB0E859">
        <w:tblPrEx>
          <w:tblBorders>
            <w:top w:val="single" w:color="9BBB59" w:sz="4" w:space="0"/>
            <w:left w:val="none" w:color="auto" w:sz="0" w:space="0"/>
            <w:bottom w:val="single" w:color="9BBB59" w:sz="4" w:space="0"/>
            <w:right w:val="none" w:color="auto" w:sz="0" w:space="0"/>
            <w:insideH w:val="none" w:color="auto" w:sz="0" w:space="0"/>
            <w:insideV w:val="none" w:color="auto" w:sz="0" w:space="0"/>
          </w:tblBorders>
          <w:tblCellMar>
            <w:top w:w="0" w:type="dxa"/>
            <w:left w:w="108" w:type="dxa"/>
            <w:bottom w:w="0" w:type="dxa"/>
            <w:right w:w="108" w:type="dxa"/>
          </w:tblCellMar>
        </w:tblPrEx>
        <w:tc>
          <w:tcPr>
            <w:tcW w:w="0" w:type="auto"/>
            <w:shd w:val="clear" w:color="auto" w:fill="EAF1DD"/>
            <w:vAlign w:val="center"/>
          </w:tcPr>
          <w:p w14:paraId="3A81EB42">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5</w:t>
            </w:r>
          </w:p>
        </w:tc>
        <w:tc>
          <w:tcPr>
            <w:tcW w:w="0" w:type="auto"/>
            <w:shd w:val="clear" w:color="auto" w:fill="EAF1DD"/>
            <w:vAlign w:val="center"/>
          </w:tcPr>
          <w:p w14:paraId="1093EDB4">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Hengyang Industrial Investment Fund</w:t>
            </w:r>
          </w:p>
        </w:tc>
        <w:tc>
          <w:tcPr>
            <w:tcW w:w="0" w:type="auto"/>
            <w:shd w:val="clear" w:color="auto" w:fill="EAF1DD"/>
            <w:vAlign w:val="center"/>
          </w:tcPr>
          <w:p w14:paraId="3C94833A">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Aerospace equipment, etc.</w:t>
            </w:r>
          </w:p>
        </w:tc>
        <w:tc>
          <w:tcPr>
            <w:tcW w:w="0" w:type="auto"/>
            <w:shd w:val="clear" w:color="auto" w:fill="EAF1DD"/>
            <w:vAlign w:val="center"/>
          </w:tcPr>
          <w:p w14:paraId="4788B82F">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2018</w:t>
            </w:r>
          </w:p>
        </w:tc>
        <w:tc>
          <w:tcPr>
            <w:tcW w:w="0" w:type="auto"/>
            <w:shd w:val="clear" w:color="auto" w:fill="EAF1DD"/>
            <w:vAlign w:val="center"/>
          </w:tcPr>
          <w:p w14:paraId="1903792B">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6 billion +</w:t>
            </w:r>
          </w:p>
        </w:tc>
        <w:tc>
          <w:tcPr>
            <w:tcW w:w="0" w:type="auto"/>
            <w:shd w:val="clear" w:color="auto" w:fill="EAF1DD"/>
            <w:vAlign w:val="center"/>
          </w:tcPr>
          <w:p w14:paraId="526E07D5">
            <w:pPr>
              <w:widowControl/>
              <w:adjustRightInd w:val="0"/>
              <w:snapToGrid w:val="0"/>
              <w:spacing w:line="200" w:lineRule="exact"/>
              <w:ind w:left="-105" w:leftChars="-50" w:right="-105" w:rightChars="-50"/>
              <w:jc w:val="center"/>
              <w:rPr>
                <w:rFonts w:ascii="Times New Roman" w:hAnsi="Times New Roman" w:eastAsia="楷体" w:cs="Times New Roman"/>
                <w:color w:val="auto"/>
                <w:kern w:val="0"/>
                <w:sz w:val="18"/>
                <w:szCs w:val="18"/>
              </w:rPr>
            </w:pPr>
            <w:r>
              <w:rPr>
                <w:rFonts w:ascii="Times New Roman" w:hAnsi="Times New Roman" w:eastAsia="楷体" w:cs="Times New Roman"/>
                <w:color w:val="auto"/>
                <w:kern w:val="0"/>
                <w:sz w:val="18"/>
                <w:szCs w:val="18"/>
              </w:rPr>
              <w:t>The Government has contributed 1.5 billion yuan as an industrial guiding fund to leverage social capital to set up sub-funds.</w:t>
            </w:r>
          </w:p>
        </w:tc>
      </w:tr>
    </w:tbl>
    <w:p w14:paraId="3F90327E">
      <w:pPr>
        <w:snapToGrid w:val="0"/>
        <w:spacing w:line="360" w:lineRule="exact"/>
        <w:rPr>
          <w:rFonts w:ascii="Times New Roman" w:hAnsi="Times New Roman" w:eastAsia="仿宋" w:cs="Times New Roman"/>
          <w:sz w:val="20"/>
          <w:szCs w:val="21"/>
        </w:rPr>
      </w:pPr>
    </w:p>
    <w:p w14:paraId="46622662">
      <w:pPr>
        <w:snapToGrid w:val="0"/>
        <w:spacing w:line="360" w:lineRule="exact"/>
        <w:ind w:firstLine="442" w:firstLineChars="200"/>
        <w:outlineLvl w:val="2"/>
        <w:rPr>
          <w:rFonts w:ascii="Times New Roman" w:hAnsi="Times New Roman" w:eastAsia="黑体" w:cs="Times New Roman"/>
          <w:b/>
          <w:sz w:val="22"/>
        </w:rPr>
      </w:pPr>
      <w:bookmarkStart w:id="204" w:name="_Toc163910358"/>
      <w:r>
        <w:rPr>
          <w:rFonts w:ascii="Times New Roman" w:hAnsi="Times New Roman" w:eastAsia="黑体" w:cs="Times New Roman"/>
          <w:b/>
          <w:sz w:val="22"/>
        </w:rPr>
        <w:t xml:space="preserve">(4) Investment </w:t>
      </w:r>
      <w:r>
        <w:rPr>
          <w:rFonts w:ascii="Times New Roman" w:hAnsi="Times New Roman" w:eastAsia="黑体" w:cs="Times New Roman"/>
          <w:b/>
          <w:sz w:val="22"/>
          <w:szCs w:val="24"/>
        </w:rPr>
        <w:t>O</w:t>
      </w:r>
      <w:r>
        <w:rPr>
          <w:rFonts w:hint="eastAsia" w:ascii="Times New Roman" w:hAnsi="Times New Roman" w:eastAsia="黑体" w:cs="Times New Roman"/>
          <w:b/>
          <w:sz w:val="22"/>
          <w:szCs w:val="24"/>
        </w:rPr>
        <w:t>rientation</w:t>
      </w:r>
      <w:r>
        <w:rPr>
          <w:rFonts w:ascii="Times New Roman" w:hAnsi="Times New Roman" w:eastAsia="黑体" w:cs="Times New Roman"/>
          <w:b/>
          <w:sz w:val="22"/>
        </w:rPr>
        <w:t xml:space="preserve"> and Industrial Layout</w:t>
      </w:r>
      <w:bookmarkEnd w:id="204"/>
    </w:p>
    <w:p w14:paraId="0D86E235">
      <w:pPr>
        <w:snapToGrid w:val="0"/>
        <w:spacing w:line="360" w:lineRule="exact"/>
        <w:ind w:firstLine="442" w:firstLineChars="200"/>
        <w:rPr>
          <w:rFonts w:ascii="Times New Roman" w:hAnsi="Times New Roman" w:eastAsia="仿宋" w:cs="Times New Roman"/>
          <w:sz w:val="22"/>
        </w:rPr>
      </w:pPr>
      <w:r>
        <w:rPr>
          <w:rFonts w:ascii="Times New Roman" w:hAnsi="Times New Roman" w:eastAsia="仿宋" w:cs="Times New Roman"/>
          <w:b/>
          <w:bCs/>
          <w:sz w:val="22"/>
        </w:rPr>
        <w:t>Aviation Equipment</w:t>
      </w:r>
      <w:r>
        <w:rPr>
          <w:rFonts w:ascii="Times New Roman" w:hAnsi="Times New Roman" w:eastAsia="仿宋" w:cs="Times New Roman"/>
          <w:sz w:val="22"/>
        </w:rPr>
        <w:t xml:space="preserve">. Based on Zhuzhou HTZ, Yueyang ETDZ, and Shaoyang ETDZ, we aim to develop distinctive industry clusters. To that end, we work to introduce enterprises engaging in such industries as GA aircraft, UAVs, SMAEs, take-off and landing systems, APUs, new aircrafts and engines, large aircraft on-board systems, and aerospace new materials including titanium, beryllium, aluminum, magnesium lightweight alloys, and others. </w:t>
      </w:r>
    </w:p>
    <w:p w14:paraId="3F69629A">
      <w:pPr>
        <w:snapToGrid w:val="0"/>
        <w:spacing w:line="360" w:lineRule="exact"/>
        <w:ind w:firstLine="440" w:firstLineChars="200"/>
        <w:rPr>
          <w:rFonts w:hint="eastAsia" w:ascii="Times New Roman" w:hAnsi="Times New Roman" w:eastAsia="仿宋" w:cs="Times New Roman"/>
          <w:sz w:val="22"/>
        </w:rPr>
      </w:pPr>
      <w:r>
        <w:rPr>
          <w:rFonts w:hint="eastAsia" w:ascii="Times New Roman" w:hAnsi="Times New Roman" w:eastAsia="仿宋" w:cs="Times New Roman"/>
          <w:sz w:val="22"/>
        </w:rPr>
        <w:t>General Aviation (GA). Based on Zhuzhou HTZ, Guiyang HTZ, Yueyang ETDZ, etc., we aim to develop light aircraft, helicopter deceleration transmission systems, and aerostats. Based on Zhuzhou and Chenzhou, we aim to expand the application of industries including low-altitude tourism, flight training, and UAV logistics.</w:t>
      </w:r>
    </w:p>
    <w:p w14:paraId="7C76B6AA">
      <w:pPr>
        <w:snapToGrid w:val="0"/>
        <w:spacing w:line="360" w:lineRule="exact"/>
        <w:ind w:firstLine="440" w:firstLineChars="200"/>
        <w:rPr>
          <w:rFonts w:ascii="Times New Roman" w:hAnsi="Times New Roman" w:eastAsia="仿宋" w:cs="Times New Roman"/>
          <w:sz w:val="22"/>
        </w:rPr>
      </w:pPr>
      <w:r>
        <w:rPr>
          <w:rFonts w:hint="eastAsia" w:ascii="Times New Roman" w:hAnsi="Times New Roman" w:eastAsia="仿宋" w:cs="Times New Roman"/>
          <w:sz w:val="22"/>
        </w:rPr>
        <w:t>BDS Industry. Based on Xiangjiang New Area, Zhuzhou ETDZ, and Yueyang ETDZ, we aim to develop a complete industry chain integrating chipsets, modules, circuit boards, terminals, and operation services and introduce companies engaging in commercial spaceflight, BDS-specific chipsets, high-precision timing and frequency, satellite ground stations (SGS), system enhancements, high-precision reception, and simulation tests.</w:t>
      </w:r>
    </w:p>
    <w:p w14:paraId="087161EA">
      <w:pPr>
        <w:snapToGrid w:val="0"/>
        <w:jc w:val="center"/>
      </w:pPr>
    </w:p>
    <w:p w14:paraId="76ABDA01">
      <w:pPr>
        <w:snapToGrid w:val="0"/>
        <w:jc w:val="center"/>
      </w:pPr>
    </w:p>
    <w:p w14:paraId="65C99037">
      <w:pPr>
        <w:snapToGrid w:val="0"/>
        <w:jc w:val="center"/>
      </w:pPr>
    </w:p>
    <w:p w14:paraId="425F83CE">
      <w:pPr>
        <w:snapToGrid w:val="0"/>
        <w:jc w:val="center"/>
      </w:pPr>
    </w:p>
    <w:p w14:paraId="34029070">
      <w:pPr>
        <w:snapToGrid w:val="0"/>
        <w:jc w:val="center"/>
      </w:pPr>
    </w:p>
    <w:p w14:paraId="17260075">
      <w:pPr>
        <w:snapToGrid w:val="0"/>
        <w:jc w:val="center"/>
      </w:pPr>
    </w:p>
    <w:p w14:paraId="6778CE17">
      <w:pPr>
        <w:snapToGrid w:val="0"/>
        <w:jc w:val="center"/>
      </w:pPr>
      <w:r>
        <w:rPr>
          <w:rFonts w:hint="eastAsia"/>
        </w:rPr>
        <w:drawing>
          <wp:anchor distT="0" distB="0" distL="114300" distR="114300" simplePos="0" relativeHeight="251706368" behindDoc="0" locked="0" layoutInCell="1" allowOverlap="1">
            <wp:simplePos x="0" y="0"/>
            <wp:positionH relativeFrom="column">
              <wp:posOffset>-866775</wp:posOffset>
            </wp:positionH>
            <wp:positionV relativeFrom="paragraph">
              <wp:posOffset>18415</wp:posOffset>
            </wp:positionV>
            <wp:extent cx="5667375" cy="3320415"/>
            <wp:effectExtent l="0" t="1181100" r="0" b="1175385"/>
            <wp:wrapNone/>
            <wp:docPr id="11827332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31" name="图片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rot="16200000">
                      <a:off x="0" y="0"/>
                      <a:ext cx="5667375" cy="3320415"/>
                    </a:xfrm>
                    <a:prstGeom prst="rect">
                      <a:avLst/>
                    </a:prstGeom>
                    <a:noFill/>
                    <a:ln>
                      <a:noFill/>
                    </a:ln>
                  </pic:spPr>
                </pic:pic>
              </a:graphicData>
            </a:graphic>
          </wp:anchor>
        </w:drawing>
      </w:r>
    </w:p>
    <w:p w14:paraId="4B920213">
      <w:pPr>
        <w:snapToGrid w:val="0"/>
        <w:jc w:val="center"/>
      </w:pPr>
    </w:p>
    <w:p w14:paraId="7B1D1883">
      <w:pPr>
        <w:snapToGrid w:val="0"/>
        <w:jc w:val="center"/>
      </w:pPr>
    </w:p>
    <w:p w14:paraId="7C909653">
      <w:pPr>
        <w:snapToGrid w:val="0"/>
        <w:jc w:val="center"/>
      </w:pPr>
    </w:p>
    <w:p w14:paraId="699CAD0F">
      <w:pPr>
        <w:snapToGrid w:val="0"/>
        <w:jc w:val="center"/>
      </w:pPr>
    </w:p>
    <w:p w14:paraId="7F312924">
      <w:pPr>
        <w:snapToGrid w:val="0"/>
        <w:jc w:val="center"/>
      </w:pPr>
    </w:p>
    <w:p w14:paraId="1584CD27">
      <w:pPr>
        <w:snapToGrid w:val="0"/>
        <w:jc w:val="center"/>
      </w:pPr>
    </w:p>
    <w:p w14:paraId="4970A8CB">
      <w:pPr>
        <w:snapToGrid w:val="0"/>
        <w:jc w:val="center"/>
      </w:pPr>
    </w:p>
    <w:p w14:paraId="164DC738">
      <w:pPr>
        <w:snapToGrid w:val="0"/>
        <w:jc w:val="center"/>
      </w:pPr>
    </w:p>
    <w:p w14:paraId="34968ACF">
      <w:pPr>
        <w:snapToGrid w:val="0"/>
        <w:jc w:val="center"/>
      </w:pPr>
    </w:p>
    <w:p w14:paraId="0855FD0C">
      <w:pPr>
        <w:snapToGrid w:val="0"/>
        <w:jc w:val="center"/>
      </w:pPr>
    </w:p>
    <w:p w14:paraId="1DAEFF8C">
      <w:pPr>
        <w:snapToGrid w:val="0"/>
        <w:jc w:val="center"/>
      </w:pPr>
    </w:p>
    <w:p w14:paraId="65149E5F">
      <w:pPr>
        <w:snapToGrid w:val="0"/>
        <w:jc w:val="center"/>
      </w:pPr>
    </w:p>
    <w:p w14:paraId="608C0D19">
      <w:pPr>
        <w:snapToGrid w:val="0"/>
        <w:jc w:val="center"/>
      </w:pPr>
    </w:p>
    <w:p w14:paraId="2E8662A6">
      <w:pPr>
        <w:snapToGrid w:val="0"/>
        <w:jc w:val="center"/>
      </w:pPr>
    </w:p>
    <w:p w14:paraId="619BE9EF">
      <w:pPr>
        <w:snapToGrid w:val="0"/>
        <w:jc w:val="center"/>
      </w:pPr>
    </w:p>
    <w:p w14:paraId="59DA54C5">
      <w:pPr>
        <w:snapToGrid w:val="0"/>
        <w:jc w:val="center"/>
      </w:pPr>
    </w:p>
    <w:p w14:paraId="0A04C8CE">
      <w:pPr>
        <w:snapToGrid w:val="0"/>
        <w:jc w:val="center"/>
      </w:pPr>
    </w:p>
    <w:p w14:paraId="3DD5F11C">
      <w:pPr>
        <w:snapToGrid w:val="0"/>
        <w:jc w:val="center"/>
      </w:pPr>
    </w:p>
    <w:p w14:paraId="1EC09EE8">
      <w:pPr>
        <w:snapToGrid w:val="0"/>
        <w:jc w:val="center"/>
        <w:rPr>
          <w:rFonts w:ascii="Times New Roman" w:hAnsi="Times New Roman" w:eastAsia="仿宋" w:cs="Times New Roman"/>
          <w:sz w:val="22"/>
        </w:rPr>
      </w:pPr>
    </w:p>
    <w:p w14:paraId="25C5B777">
      <w:pPr>
        <w:snapToGrid w:val="0"/>
        <w:spacing w:line="360" w:lineRule="exact"/>
        <w:ind w:firstLine="440" w:firstLineChars="200"/>
        <w:rPr>
          <w:rFonts w:ascii="Times New Roman" w:hAnsi="Times New Roman" w:eastAsia="仿宋" w:cs="Times New Roman"/>
          <w:sz w:val="22"/>
        </w:rPr>
      </w:pPr>
    </w:p>
    <w:p w14:paraId="692986B6">
      <w:pPr>
        <w:snapToGrid w:val="0"/>
        <w:spacing w:line="360" w:lineRule="exact"/>
        <w:ind w:firstLine="440" w:firstLineChars="200"/>
        <w:rPr>
          <w:rFonts w:ascii="Times New Roman" w:hAnsi="Times New Roman" w:eastAsia="仿宋" w:cs="Times New Roman"/>
          <w:sz w:val="22"/>
        </w:rPr>
      </w:pPr>
    </w:p>
    <w:p w14:paraId="59580431">
      <w:pPr>
        <w:snapToGrid w:val="0"/>
        <w:spacing w:line="360" w:lineRule="exact"/>
        <w:ind w:firstLine="440" w:firstLineChars="200"/>
        <w:rPr>
          <w:rFonts w:ascii="Times New Roman" w:hAnsi="Times New Roman" w:eastAsia="仿宋" w:cs="Times New Roman"/>
          <w:sz w:val="22"/>
        </w:rPr>
      </w:pPr>
    </w:p>
    <w:p w14:paraId="47628DF8">
      <w:pPr>
        <w:snapToGrid w:val="0"/>
        <w:spacing w:line="360" w:lineRule="exact"/>
        <w:ind w:firstLine="440" w:firstLineChars="200"/>
        <w:rPr>
          <w:rFonts w:ascii="Times New Roman" w:hAnsi="Times New Roman" w:eastAsia="仿宋" w:cs="Times New Roman"/>
          <w:sz w:val="22"/>
        </w:rPr>
      </w:pPr>
    </w:p>
    <w:p w14:paraId="08D15F1C">
      <w:pPr>
        <w:snapToGrid w:val="0"/>
        <w:spacing w:line="360" w:lineRule="exact"/>
        <w:ind w:firstLine="440" w:firstLineChars="200"/>
        <w:rPr>
          <w:rFonts w:ascii="Times New Roman" w:hAnsi="Times New Roman" w:eastAsia="仿宋" w:cs="Times New Roman"/>
          <w:sz w:val="22"/>
        </w:rPr>
      </w:pPr>
    </w:p>
    <w:p w14:paraId="723C4A32">
      <w:pPr>
        <w:snapToGrid w:val="0"/>
        <w:spacing w:line="360" w:lineRule="exact"/>
        <w:ind w:firstLine="442" w:firstLineChars="200"/>
        <w:rPr>
          <w:rFonts w:ascii="Times New Roman" w:hAnsi="Times New Roman" w:eastAsia="仿宋" w:cs="Times New Roman"/>
          <w:sz w:val="22"/>
        </w:rPr>
        <w:sectPr>
          <w:pgSz w:w="8391" w:h="11907"/>
          <w:pgMar w:top="1440" w:right="1080" w:bottom="1440" w:left="1080" w:header="680" w:footer="992" w:gutter="0"/>
          <w:cols w:space="720" w:num="1"/>
          <w:docGrid w:type="lines" w:linePitch="381" w:charSpace="0"/>
        </w:sectPr>
      </w:pPr>
      <w:r>
        <w:rPr>
          <w:rFonts w:ascii="Times New Roman" w:hAnsi="Times New Roman" w:eastAsia="仿宋" w:cs="Times New Roman"/>
          <w:b/>
          <w:bCs/>
          <w:sz w:val="22"/>
        </w:rPr>
        <w:t>Marine Engineering Equipment</w:t>
      </w:r>
      <w:r>
        <w:rPr>
          <w:rFonts w:ascii="Times New Roman" w:hAnsi="Times New Roman" w:eastAsia="仿宋" w:cs="Times New Roman"/>
          <w:sz w:val="22"/>
        </w:rPr>
        <w:t>. Based on Yuanjiang HTZ, Xiangtan ETDZ, and Changde ETDZ, we aim to introduce enterprises engaging in the deep-sea mineral resource development equipment industry, including advanced key ship systems, marine robots, marine operation platforms, integrated power systems (IPS), deck machinery and submarine cables, and those engaging in shipbuilding and component manufacturing enterprises, including steel ships, yachts, and luxury cruise ships</w:t>
      </w:r>
    </w:p>
    <w:p w14:paraId="02CAE0C1">
      <w:pPr>
        <w:snapToGrid w:val="0"/>
        <w:spacing w:afterLines="100" w:line="360" w:lineRule="exact"/>
        <w:jc w:val="center"/>
        <w:outlineLvl w:val="0"/>
        <w:rPr>
          <w:rFonts w:ascii="Times New Roman" w:hAnsi="Times New Roman" w:eastAsia="仿宋" w:cs="Times New Roman"/>
          <w:b/>
          <w:bCs/>
          <w:sz w:val="28"/>
          <w:szCs w:val="28"/>
        </w:rPr>
      </w:pPr>
      <w:bookmarkStart w:id="205" w:name="_Toc131156313"/>
      <w:bookmarkStart w:id="206" w:name="_Toc163910359"/>
      <w:r>
        <w:rPr>
          <w:rFonts w:ascii="Times New Roman" w:hAnsi="Times New Roman" w:eastAsia="仿宋" w:cs="Times New Roman"/>
          <w:b/>
          <w:bCs/>
          <w:sz w:val="28"/>
          <w:szCs w:val="28"/>
        </w:rPr>
        <w:t>IV. Future-oriented Industr</w:t>
      </w:r>
      <w:bookmarkEnd w:id="205"/>
      <w:r>
        <w:rPr>
          <w:rFonts w:hint="eastAsia" w:ascii="Times New Roman" w:hAnsi="Times New Roman" w:eastAsia="仿宋" w:cs="Times New Roman"/>
          <w:b/>
          <w:bCs/>
          <w:sz w:val="28"/>
          <w:szCs w:val="28"/>
        </w:rPr>
        <w:t>ies</w:t>
      </w:r>
      <w:bookmarkEnd w:id="206"/>
      <w:r>
        <w:rPr>
          <w:rFonts w:hint="eastAsia" w:ascii="Times New Roman" w:hAnsi="Times New Roman" w:eastAsia="仿宋" w:cs="Times New Roman"/>
          <w:b/>
          <w:bCs/>
          <w:sz w:val="28"/>
          <w:szCs w:val="28"/>
        </w:rPr>
        <w:t xml:space="preserve"> </w:t>
      </w:r>
    </w:p>
    <w:p w14:paraId="7C577C27">
      <w:pPr>
        <w:snapToGrid w:val="0"/>
        <w:spacing w:afterLines="50" w:line="360" w:lineRule="exact"/>
        <w:jc w:val="center"/>
        <w:outlineLvl w:val="1"/>
        <w:rPr>
          <w:rFonts w:ascii="Times New Roman" w:hAnsi="Times New Roman" w:eastAsia="仿宋" w:cs="Times New Roman"/>
          <w:b/>
          <w:bCs/>
          <w:sz w:val="24"/>
          <w:szCs w:val="24"/>
        </w:rPr>
      </w:pPr>
      <w:bookmarkStart w:id="207" w:name="_Toc163910360"/>
      <w:r>
        <w:rPr>
          <w:rFonts w:ascii="Times New Roman" w:hAnsi="Times New Roman" w:eastAsia="仿宋" w:cs="Times New Roman"/>
          <w:b/>
          <w:bCs/>
          <w:sz w:val="24"/>
          <w:szCs w:val="24"/>
        </w:rPr>
        <w:t>13. Artificial Intelligence</w:t>
      </w:r>
      <w:bookmarkEnd w:id="207"/>
    </w:p>
    <w:p w14:paraId="75A73E24">
      <w:pPr>
        <w:snapToGrid w:val="0"/>
        <w:spacing w:line="360" w:lineRule="exact"/>
        <w:ind w:firstLine="442" w:firstLineChars="200"/>
        <w:outlineLvl w:val="2"/>
        <w:rPr>
          <w:rFonts w:ascii="Times New Roman" w:hAnsi="Times New Roman" w:eastAsia="黑体" w:cs="Times New Roman"/>
          <w:b/>
          <w:sz w:val="22"/>
        </w:rPr>
      </w:pPr>
      <w:bookmarkStart w:id="208" w:name="_Toc163910361"/>
      <w:r>
        <w:rPr>
          <w:rFonts w:ascii="Times New Roman" w:hAnsi="Times New Roman" w:eastAsia="黑体" w:cs="Times New Roman"/>
          <w:b/>
          <w:sz w:val="22"/>
        </w:rPr>
        <w:t>(1) Development Status</w:t>
      </w:r>
      <w:bookmarkEnd w:id="208"/>
    </w:p>
    <w:p w14:paraId="1079E50B">
      <w:pPr>
        <w:snapToGrid w:val="0"/>
        <w:spacing w:line="360" w:lineRule="exact"/>
        <w:ind w:firstLine="440" w:firstLineChars="200"/>
        <w:rPr>
          <w:rFonts w:ascii="Times New Roman" w:hAnsi="Times New Roman" w:eastAsia="仿宋" w:cs="Times New Roman"/>
          <w:sz w:val="22"/>
        </w:rPr>
      </w:pPr>
      <w:r>
        <w:rPr>
          <w:rFonts w:hint="eastAsia" w:ascii="Times New Roman" w:hAnsi="Times New Roman" w:eastAsia="仿宋" w:cs="Times New Roman"/>
          <w:sz w:val="22"/>
          <w:lang w:val="en-US" w:eastAsia="zh-CN"/>
        </w:rPr>
        <w:t>T</w:t>
      </w:r>
      <w:r>
        <w:rPr>
          <w:rFonts w:ascii="Times New Roman" w:hAnsi="Times New Roman" w:eastAsia="仿宋" w:cs="Times New Roman"/>
          <w:sz w:val="22"/>
        </w:rPr>
        <w:t xml:space="preserve">he artificial intelligence (AI) industry and the big data industry reached an output value of 15.2 billion yuan and 110 billion yuan, representing a year-on-year increase of 22% and 20% respectively. According to </w:t>
      </w:r>
      <w:r>
        <w:rPr>
          <w:rFonts w:ascii="Times New Roman" w:hAnsi="Times New Roman" w:eastAsia="仿宋" w:cs="Times New Roman"/>
          <w:i/>
          <w:iCs/>
          <w:sz w:val="22"/>
        </w:rPr>
        <w:t>China’s New Generation Al Technology Industry Region Competitiveness Evaluation Index (2023)</w:t>
      </w:r>
      <w:r>
        <w:rPr>
          <w:rFonts w:ascii="Times New Roman" w:hAnsi="Times New Roman" w:eastAsia="仿宋" w:cs="Times New Roman"/>
          <w:sz w:val="22"/>
        </w:rPr>
        <w:t xml:space="preserve"> released by the Chinese Academy of Engineering, Hunan ranks 10</w:t>
      </w:r>
      <w:r>
        <w:rPr>
          <w:rFonts w:ascii="Times New Roman" w:hAnsi="Times New Roman" w:eastAsia="仿宋" w:cs="Times New Roman"/>
          <w:sz w:val="22"/>
          <w:vertAlign w:val="superscript"/>
        </w:rPr>
        <w:t>th</w:t>
      </w:r>
      <w:r>
        <w:rPr>
          <w:rFonts w:ascii="Times New Roman" w:hAnsi="Times New Roman" w:eastAsia="仿宋" w:cs="Times New Roman"/>
          <w:sz w:val="22"/>
        </w:rPr>
        <w:t xml:space="preserve"> at the forefront of China.</w:t>
      </w:r>
    </w:p>
    <w:p w14:paraId="3784B2ED">
      <w:pPr>
        <w:snapToGrid w:val="0"/>
        <w:jc w:val="center"/>
        <w:rPr>
          <w:rFonts w:ascii="Times New Roman" w:hAnsi="Times New Roman" w:eastAsia="仿宋" w:cs="Times New Roman"/>
          <w:sz w:val="20"/>
          <w:szCs w:val="20"/>
        </w:rPr>
      </w:pPr>
      <w:r>
        <w:drawing>
          <wp:inline distT="0" distB="0" distL="0" distR="0">
            <wp:extent cx="4027170" cy="238125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4031653" cy="2384004"/>
                    </a:xfrm>
                    <a:prstGeom prst="rect">
                      <a:avLst/>
                    </a:prstGeom>
                    <a:noFill/>
                    <a:ln>
                      <a:noFill/>
                    </a:ln>
                  </pic:spPr>
                </pic:pic>
              </a:graphicData>
            </a:graphic>
          </wp:inline>
        </w:drawing>
      </w:r>
    </w:p>
    <w:p w14:paraId="62B6296E">
      <w:pPr>
        <w:snapToGrid w:val="0"/>
        <w:spacing w:line="360" w:lineRule="exact"/>
        <w:jc w:val="center"/>
        <w:rPr>
          <w:rFonts w:ascii="Times New Roman" w:hAnsi="Times New Roman" w:eastAsia="仿宋" w:cs="Times New Roman"/>
          <w:sz w:val="18"/>
          <w:szCs w:val="18"/>
        </w:rPr>
      </w:pPr>
      <w:r>
        <w:rPr>
          <w:rFonts w:ascii="Times New Roman" w:hAnsi="Times New Roman" w:eastAsia="仿宋" w:cs="Times New Roman"/>
          <w:sz w:val="18"/>
          <w:szCs w:val="18"/>
        </w:rPr>
        <w:t>Leading enterprises and institutions in AI industry</w:t>
      </w:r>
    </w:p>
    <w:p w14:paraId="74293062">
      <w:pPr>
        <w:tabs>
          <w:tab w:val="center" w:pos="4153"/>
          <w:tab w:val="right" w:pos="8306"/>
        </w:tabs>
        <w:snapToGrid w:val="0"/>
        <w:spacing w:line="360" w:lineRule="exact"/>
        <w:ind w:firstLine="442" w:firstLineChars="200"/>
        <w:rPr>
          <w:rFonts w:ascii="Times New Roman" w:hAnsi="Times New Roman" w:eastAsia="仿宋" w:cs="Times New Roman"/>
          <w:sz w:val="22"/>
        </w:rPr>
      </w:pPr>
      <w:r>
        <w:rPr>
          <w:rFonts w:ascii="Times New Roman" w:hAnsi="Times New Roman" w:eastAsia="仿宋" w:cs="Times New Roman"/>
          <w:b/>
          <w:bCs/>
          <w:sz w:val="22"/>
        </w:rPr>
        <w:t>Greater computing power</w:t>
      </w:r>
      <w:r>
        <w:rPr>
          <w:rFonts w:ascii="Times New Roman" w:hAnsi="Times New Roman" w:eastAsia="仿宋" w:cs="Times New Roman"/>
          <w:sz w:val="22"/>
        </w:rPr>
        <w:t xml:space="preserve">. A total of 48 data centers above the designated size have been built or are in progress in the province, with 163,000 standard racks. The computing power of the new generation supercomputer Tianhe at the National Supercomputing Center in Changsha has reached 200 P Flops, with a data storage capacity exceeding 20PB. The computing power of the Changsha Artificial Intelligence Innovation Center (Phase I) has reached 200 P Flops. The Hunan Branch of the National Industrial Internet Big Data Center is located in the Xiangjiang New Area, and the China Unicom Central South Research Institute Data Center is located in the Yuhua District of Changsha. </w:t>
      </w:r>
    </w:p>
    <w:p w14:paraId="24A014CE">
      <w:pPr>
        <w:tabs>
          <w:tab w:val="center" w:pos="4153"/>
          <w:tab w:val="right" w:pos="8306"/>
        </w:tabs>
        <w:snapToGrid w:val="0"/>
        <w:spacing w:line="360" w:lineRule="exact"/>
        <w:ind w:firstLine="442" w:firstLineChars="200"/>
        <w:rPr>
          <w:rFonts w:ascii="Times New Roman" w:hAnsi="Times New Roman" w:eastAsia="仿宋" w:cs="Times New Roman"/>
          <w:b/>
          <w:bCs/>
          <w:sz w:val="22"/>
        </w:rPr>
      </w:pPr>
      <w:r>
        <w:rPr>
          <w:rFonts w:ascii="Times New Roman" w:hAnsi="Times New Roman" w:eastAsia="仿宋" w:cs="Times New Roman"/>
          <w:b/>
          <w:bCs/>
          <w:sz w:val="22"/>
        </w:rPr>
        <w:t>Greater technological innovation capacity.</w:t>
      </w:r>
      <w:r>
        <w:rPr>
          <w:rFonts w:ascii="Times New Roman" w:hAnsi="Times New Roman" w:eastAsia="仿宋" w:cs="Times New Roman"/>
          <w:sz w:val="22"/>
        </w:rPr>
        <w:t xml:space="preserve"> Hunan is home to major institutions such as National University of Defense Technology (NUDT), the 48th Research Institute of China Electronics Technology Group Corporation, and CRRC Zhuzhou Institute, with three colleges that have been selected as the first batch of national specialized and exemplary software colleges. It established 216 innovation platforms including the State Key Laboratory of High-Performance Computing. Xiangjiang Laboratory, focusing on AI technological innovation, was launched and the first batch of 19 academician teams are conducting technological innovation. PKU-Changsha Institute for Computing and Digital Economy, founded in Changsha, promotes research on basic and applied research in advanced computing, big data, and other fields.</w:t>
      </w:r>
      <w:r>
        <w:rPr>
          <w:rFonts w:ascii="Times New Roman" w:hAnsi="Times New Roman" w:eastAsia="仿宋" w:cs="Times New Roman"/>
          <w:b/>
          <w:bCs/>
          <w:sz w:val="22"/>
        </w:rPr>
        <w:t xml:space="preserve"> </w:t>
      </w:r>
    </w:p>
    <w:p w14:paraId="0D06D6F7">
      <w:pPr>
        <w:tabs>
          <w:tab w:val="center" w:pos="4153"/>
          <w:tab w:val="right" w:pos="8306"/>
        </w:tabs>
        <w:snapToGrid w:val="0"/>
        <w:spacing w:line="360" w:lineRule="exact"/>
        <w:ind w:firstLine="442" w:firstLineChars="200"/>
        <w:rPr>
          <w:rFonts w:ascii="Times New Roman" w:hAnsi="Times New Roman" w:eastAsia="仿宋" w:cs="Times New Roman"/>
          <w:sz w:val="22"/>
        </w:rPr>
      </w:pPr>
      <w:r>
        <w:rPr>
          <w:rFonts w:ascii="Times New Roman" w:hAnsi="Times New Roman" w:eastAsia="仿宋" w:cs="Times New Roman"/>
          <w:b/>
          <w:bCs/>
          <w:sz w:val="22"/>
        </w:rPr>
        <w:t>Stronger industrial clusters</w:t>
      </w:r>
      <w:r>
        <w:rPr>
          <w:rFonts w:ascii="Times New Roman" w:hAnsi="Times New Roman" w:eastAsia="仿宋" w:cs="Times New Roman"/>
          <w:sz w:val="22"/>
        </w:rPr>
        <w:t>. Leading companies such as Huawei, Alibaba, Inspur, ByteDance, iFlytek, and Hikvision continue to increase their investment in AI in Hunan. The Huawei Hunan Regional Headquarters and Huawei Changsha Research Institute are settled in Malanshan. The iFlytek Regional Headquarters in Hunan and the Central South Headquarters for Intelligent Manufacturing are located in the Xiangjiang Digital Health Industrial Park. Leading companies in the high-performance computing field such as Sugon continue to expand their business in Hunan. Changsha has been approved to establish National Artificial Intelligence Innovation and Application Pilot Zone.</w:t>
      </w:r>
    </w:p>
    <w:p w14:paraId="10EA1C77">
      <w:pPr>
        <w:snapToGrid w:val="0"/>
        <w:spacing w:line="360" w:lineRule="exact"/>
        <w:ind w:firstLine="442" w:firstLineChars="200"/>
        <w:outlineLvl w:val="2"/>
        <w:rPr>
          <w:rFonts w:ascii="Times New Roman" w:hAnsi="Times New Roman" w:eastAsia="黑体" w:cs="Times New Roman"/>
          <w:b/>
          <w:sz w:val="22"/>
        </w:rPr>
      </w:pPr>
      <w:bookmarkStart w:id="209" w:name="_Toc163910362"/>
      <w:r>
        <w:rPr>
          <w:rFonts w:ascii="Times New Roman" w:hAnsi="Times New Roman" w:eastAsia="黑体" w:cs="Times New Roman"/>
          <w:b/>
          <w:sz w:val="22"/>
        </w:rPr>
        <w:t>(2) Development Target</w:t>
      </w:r>
      <w:bookmarkEnd w:id="209"/>
    </w:p>
    <w:p w14:paraId="7B150798">
      <w:pPr>
        <w:tabs>
          <w:tab w:val="center" w:pos="4153"/>
          <w:tab w:val="right" w:pos="8306"/>
        </w:tabs>
        <w:snapToGrid w:val="0"/>
        <w:spacing w:line="36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By 2027, the core AI industry will reach an output of 50 billion yuan. AI innovation-driven zones, industrial clusters, and application demonstration zones with significant domestic influence will take shape.</w:t>
      </w:r>
    </w:p>
    <w:p w14:paraId="025816B0">
      <w:pPr>
        <w:snapToGrid w:val="0"/>
        <w:spacing w:line="360" w:lineRule="exact"/>
        <w:ind w:firstLine="442" w:firstLineChars="200"/>
        <w:outlineLvl w:val="2"/>
        <w:rPr>
          <w:rFonts w:ascii="Times New Roman" w:hAnsi="Times New Roman" w:eastAsia="黑体" w:cs="Times New Roman"/>
          <w:b/>
          <w:sz w:val="22"/>
        </w:rPr>
      </w:pPr>
      <w:bookmarkStart w:id="210" w:name="_Toc163910363"/>
      <w:r>
        <w:rPr>
          <w:rFonts w:ascii="Times New Roman" w:hAnsi="Times New Roman" w:eastAsia="黑体" w:cs="Times New Roman"/>
          <w:b/>
          <w:sz w:val="22"/>
        </w:rPr>
        <w:t>(3) Policy Support</w:t>
      </w:r>
      <w:bookmarkEnd w:id="210"/>
    </w:p>
    <w:p w14:paraId="2C7015A9">
      <w:pPr>
        <w:pStyle w:val="85"/>
        <w:numPr>
          <w:ilvl w:val="0"/>
          <w:numId w:val="3"/>
        </w:numPr>
        <w:ind w:left="426" w:hanging="142" w:firstLineChars="0"/>
        <w:rPr>
          <w:i/>
          <w:iCs/>
        </w:rPr>
      </w:pPr>
      <w:r>
        <w:rPr>
          <w:i/>
          <w:iCs/>
        </w:rPr>
        <w:t>Notice of Hunan Provincial Department of Science and Technology on Promoting the National Supercomputing Center in Changsha to Better Serve Hunan’s High-Quality Economic and Social Develop</w:t>
      </w:r>
    </w:p>
    <w:p w14:paraId="1243F613">
      <w:pPr>
        <w:rPr>
          <w:i/>
          <w:iCs/>
        </w:rPr>
      </w:pPr>
      <w:r>
        <w:rPr>
          <w:iCs/>
        </w:rPr>
        <mc:AlternateContent>
          <mc:Choice Requires="wps">
            <w:drawing>
              <wp:anchor distT="0" distB="0" distL="114300" distR="114300" simplePos="0" relativeHeight="251675648" behindDoc="0" locked="0" layoutInCell="1" allowOverlap="1">
                <wp:simplePos x="0" y="0"/>
                <wp:positionH relativeFrom="column">
                  <wp:posOffset>180975</wp:posOffset>
                </wp:positionH>
                <wp:positionV relativeFrom="paragraph">
                  <wp:posOffset>85090</wp:posOffset>
                </wp:positionV>
                <wp:extent cx="3821430" cy="1022985"/>
                <wp:effectExtent l="6350" t="93345" r="12700" b="11430"/>
                <wp:wrapNone/>
                <wp:docPr id="37" name="矩形标注 46"/>
                <wp:cNvGraphicFramePr/>
                <a:graphic xmlns:a="http://schemas.openxmlformats.org/drawingml/2006/main">
                  <a:graphicData uri="http://schemas.microsoft.com/office/word/2010/wordprocessingShape">
                    <wps:wsp>
                      <wps:cNvSpPr/>
                      <wps:spPr>
                        <a:xfrm>
                          <a:off x="0" y="0"/>
                          <a:ext cx="3821430" cy="1022985"/>
                        </a:xfrm>
                        <a:prstGeom prst="wedgeRectCallout">
                          <a:avLst>
                            <a:gd name="adj1" fmla="val -41856"/>
                            <a:gd name="adj2" fmla="val -58185"/>
                          </a:avLst>
                        </a:prstGeom>
                        <a:solidFill>
                          <a:srgbClr val="E2EFD9"/>
                        </a:solidFill>
                        <a:ln w="12700" cap="flat" cmpd="sng">
                          <a:solidFill>
                            <a:srgbClr val="A8D08D"/>
                          </a:solidFill>
                          <a:prstDash val="solid"/>
                          <a:miter/>
                          <a:headEnd type="none" w="med" len="med"/>
                          <a:tailEnd type="none" w="med" len="med"/>
                        </a:ln>
                      </wps:spPr>
                      <wps:txbx>
                        <w:txbxContent>
                          <w:p w14:paraId="09A552BF">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541726EA">
                            <w:pPr>
                              <w:snapToGrid w:val="0"/>
                              <w:rPr>
                                <w:rFonts w:ascii="Times New Roman" w:hAnsi="Times New Roman" w:cs="Times New Roman"/>
                                <w:color w:val="3F3F3F" w:themeColor="text1" w:themeTint="BF"/>
                                <w:sz w:val="18"/>
                                <w:szCs w:val="18"/>
                              </w:rPr>
                            </w:pPr>
                            <w:r>
                              <w:rPr>
                                <w:rFonts w:ascii="Times New Roman" w:hAnsi="Times New Roman" w:cs="Times New Roman"/>
                                <w:color w:val="3F3F3F" w:themeColor="text1" w:themeTint="BF"/>
                                <w:sz w:val="18"/>
                                <w:szCs w:val="18"/>
                              </w:rPr>
                              <w:t>The computing power of National Supercomputing Center in Changsha is leading in China and the world. It boasts abundant software and robust scientific research capabilities, capable of providing a variety of services. The Center offers high-quality and efficient computing services as well as discounted charges for major needs, S&amp;T projects, technological innovation platforms, and industries in the province and China.</w:t>
                            </w:r>
                          </w:p>
                        </w:txbxContent>
                      </wps:txbx>
                      <wps:bodyPr anchor="ctr" anchorCtr="0" upright="1"/>
                    </wps:wsp>
                  </a:graphicData>
                </a:graphic>
              </wp:anchor>
            </w:drawing>
          </mc:Choice>
          <mc:Fallback>
            <w:pict>
              <v:shape id="矩形标注 46" o:spid="_x0000_s1026" o:spt="61" type="#_x0000_t61" style="position:absolute;left:0pt;margin-left:14.25pt;margin-top:6.7pt;height:80.55pt;width:300.9pt;z-index:251675648;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" adj="1759,-1768">
                <v:fill on="t" focussize="0,0"/>
                <v:stroke weight="1pt" color="#A8D08D" joinstyle="miter"/>
                <v:imagedata o:title=""/>
                <o:lock v:ext="edit" aspectratio="f"/>
                <v:textbox>
                  <w:txbxContent>
                    <w:p w14:paraId="09A552BF">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541726EA">
                      <w:pPr>
                        <w:snapToGrid w:val="0"/>
                        <w:rPr>
                          <w:rFonts w:ascii="Times New Roman" w:hAnsi="Times New Roman" w:cs="Times New Roman"/>
                          <w:color w:val="3F3F3F" w:themeColor="text1" w:themeTint="BF"/>
                          <w:sz w:val="18"/>
                          <w:szCs w:val="18"/>
                        </w:rPr>
                      </w:pPr>
                      <w:r>
                        <w:rPr>
                          <w:rFonts w:ascii="Times New Roman" w:hAnsi="Times New Roman" w:cs="Times New Roman"/>
                          <w:color w:val="3F3F3F" w:themeColor="text1" w:themeTint="BF"/>
                          <w:sz w:val="18"/>
                          <w:szCs w:val="18"/>
                        </w:rPr>
                        <w:t>The computing power of National Supercomputing Center in Changsha is leading in China and the world. It boasts abundant software and robust scientific research capabilities, capable of providing a variety of services. The Center offers high-quality and efficient computing services as well as discounted charges for major needs, S&amp;T projects, technological innovation platforms, and industries in the province and China.</w:t>
                      </w:r>
                    </w:p>
                  </w:txbxContent>
                </v:textbox>
              </v:shape>
            </w:pict>
          </mc:Fallback>
        </mc:AlternateContent>
      </w:r>
    </w:p>
    <w:p w14:paraId="3025F17C">
      <w:pPr>
        <w:rPr>
          <w:i/>
          <w:iCs/>
        </w:rPr>
      </w:pPr>
    </w:p>
    <w:p w14:paraId="4D28F9B7">
      <w:pPr>
        <w:rPr>
          <w:i/>
          <w:iCs/>
        </w:rPr>
      </w:pPr>
    </w:p>
    <w:p w14:paraId="7D8CB0A4">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91008" behindDoc="0" locked="0" layoutInCell="1" allowOverlap="1">
                <wp:simplePos x="0" y="0"/>
                <wp:positionH relativeFrom="margin">
                  <wp:posOffset>3101340</wp:posOffset>
                </wp:positionH>
                <wp:positionV relativeFrom="margin">
                  <wp:posOffset>114300</wp:posOffset>
                </wp:positionV>
                <wp:extent cx="914400" cy="962025"/>
                <wp:effectExtent l="6350" t="6350" r="8890" b="6985"/>
                <wp:wrapSquare wrapText="bothSides"/>
                <wp:docPr id="52" name="文本框 30"/>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04D5694B">
                            <w:pPr>
                              <w:pStyle w:val="92"/>
                              <w:adjustRightInd w:val="0"/>
                            </w:pPr>
                            <w:r>
                              <w:drawing>
                                <wp:inline distT="0" distB="0" distL="0" distR="0">
                                  <wp:extent cx="722630" cy="722630"/>
                                  <wp:effectExtent l="0" t="0" r="1270" b="127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78">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4CC7910C">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321463E3">
                            <w:pPr>
                              <w:pStyle w:val="92"/>
                              <w:adjustRightInd w:val="0"/>
                            </w:pPr>
                          </w:p>
                        </w:txbxContent>
                      </wps:txbx>
                      <wps:bodyPr upright="1"/>
                    </wps:wsp>
                  </a:graphicData>
                </a:graphic>
              </wp:anchor>
            </w:drawing>
          </mc:Choice>
          <mc:Fallback>
            <w:pict>
              <v:shape id="文本框 30" o:spid="_x0000_s1026" o:spt="202" type="#_x0000_t202" style="position:absolute;left:0pt;margin-left:244.2pt;margin-top:9pt;height:75.75pt;width:72pt;mso-position-horizontal-relative:margin;mso-position-vertical-relative:margin;mso-wrap-distance-bottom:0pt;mso-wrap-distance-left:9pt;mso-wrap-distance-right:9pt;mso-wrap-distance-top:0pt;z-index:251691008;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">
                <v:fill on="f" focussize="0,0"/>
                <v:stroke weight="1pt" color="#A8D08D" joinstyle="miter"/>
                <v:imagedata o:title=""/>
                <o:lock v:ext="edit" aspectratio="f"/>
                <v:textbox>
                  <w:txbxContent>
                    <w:p w14:paraId="04D5694B">
                      <w:pPr>
                        <w:pStyle w:val="92"/>
                        <w:adjustRightInd w:val="0"/>
                      </w:pPr>
                      <w:r>
                        <w:drawing>
                          <wp:inline distT="0" distB="0" distL="0" distR="0">
                            <wp:extent cx="722630" cy="722630"/>
                            <wp:effectExtent l="0" t="0" r="1270" b="127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78">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4CC7910C">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321463E3">
                      <w:pPr>
                        <w:pStyle w:val="92"/>
                        <w:adjustRightInd w:val="0"/>
                      </w:pPr>
                    </w:p>
                  </w:txbxContent>
                </v:textbox>
                <w10:wrap type="square"/>
              </v:shape>
            </w:pict>
          </mc:Fallback>
        </mc:AlternateContent>
      </w:r>
      <w:r>
        <w:rPr>
          <w:i/>
          <w:iCs/>
        </w:rPr>
        <w:t>Hunan Province Digital Economy Development Plan (2021-2025)</w:t>
      </w:r>
    </w:p>
    <w:p w14:paraId="43748423">
      <w:pPr>
        <w:pStyle w:val="85"/>
        <w:numPr>
          <w:ilvl w:val="0"/>
          <w:numId w:val="3"/>
        </w:numPr>
        <w:ind w:left="426" w:hanging="142" w:firstLineChars="0"/>
        <w:rPr>
          <w:i/>
          <w:iCs/>
        </w:rPr>
      </w:pPr>
      <w:r>
        <w:rPr>
          <w:i/>
          <w:iCs/>
        </w:rPr>
        <w:t>Hunan Province Action Plan for Empowering 10,000 Enterprises with Smart Technology (2023-2025)</w:t>
      </w:r>
    </w:p>
    <w:p w14:paraId="6C738028">
      <w:pPr>
        <w:pStyle w:val="85"/>
        <w:numPr>
          <w:ilvl w:val="0"/>
          <w:numId w:val="3"/>
        </w:numPr>
        <w:ind w:left="426" w:hanging="142" w:firstLineChars="0"/>
        <w:rPr>
          <w:i/>
          <w:iCs/>
        </w:rPr>
      </w:pPr>
      <w:r>
        <w:rPr>
          <w:i/>
          <w:iCs/>
        </w:rPr>
        <w:t>Development Plan for Audio and Video Industry in Hunan Province (2023-2027)</w:t>
      </w:r>
      <w:r>
        <w:rPr>
          <w:rFonts w:cs="仿宋_GB2312"/>
        </w:rPr>
        <w:t xml:space="preserve"> </w:t>
      </w:r>
    </w:p>
    <w:p w14:paraId="10B4408D">
      <w:pPr>
        <w:keepNext/>
        <w:adjustRightInd w:val="0"/>
        <w:snapToGrid w:val="0"/>
        <w:spacing w:line="360" w:lineRule="exact"/>
        <w:ind w:firstLine="442"/>
        <w:jc w:val="center"/>
        <w:rPr>
          <w:rFonts w:ascii="Times New Roman" w:hAnsi="Times New Roman" w:eastAsia="黑体" w:cs="Times New Roman"/>
          <w:sz w:val="18"/>
          <w:szCs w:val="18"/>
        </w:rPr>
      </w:pPr>
      <w:r>
        <w:rPr>
          <w:rFonts w:ascii="Times New Roman" w:hAnsi="Times New Roman" w:eastAsia="黑体" w:cs="Times New Roman"/>
          <w:sz w:val="18"/>
          <w:szCs w:val="18"/>
        </w:rPr>
        <w:t>Funds supporting the AI industry</w:t>
      </w:r>
    </w:p>
    <w:tbl>
      <w:tblPr>
        <w:tblStyle w:val="136"/>
        <w:tblW w:w="5000" w:type="pct"/>
        <w:tblInd w:w="0" w:type="dxa"/>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Layout w:type="autofit"/>
        <w:tblCellMar>
          <w:top w:w="0" w:type="dxa"/>
          <w:left w:w="108" w:type="dxa"/>
          <w:bottom w:w="0" w:type="dxa"/>
          <w:right w:w="108" w:type="dxa"/>
        </w:tblCellMar>
      </w:tblPr>
      <w:tblGrid>
        <w:gridCol w:w="498"/>
        <w:gridCol w:w="1291"/>
        <w:gridCol w:w="1705"/>
        <w:gridCol w:w="640"/>
        <w:gridCol w:w="870"/>
        <w:gridCol w:w="1443"/>
      </w:tblGrid>
      <w:tr w14:paraId="5F2E0598">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blHeader/>
        </w:trPr>
        <w:tc>
          <w:tcPr>
            <w:tcW w:w="387" w:type="pct"/>
            <w:vAlign w:val="center"/>
          </w:tcPr>
          <w:p w14:paraId="5AF4E30A">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bCs/>
                <w:kern w:val="0"/>
                <w:sz w:val="18"/>
                <w:szCs w:val="18"/>
              </w:rPr>
              <w:t>No.</w:t>
            </w:r>
          </w:p>
        </w:tc>
        <w:tc>
          <w:tcPr>
            <w:tcW w:w="1001" w:type="pct"/>
            <w:vAlign w:val="center"/>
          </w:tcPr>
          <w:p w14:paraId="2340DA50">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bCs/>
                <w:kern w:val="0"/>
                <w:sz w:val="18"/>
                <w:szCs w:val="18"/>
              </w:rPr>
              <w:t>Fund</w:t>
            </w:r>
          </w:p>
        </w:tc>
        <w:tc>
          <w:tcPr>
            <w:tcW w:w="1322" w:type="pct"/>
            <w:vAlign w:val="center"/>
          </w:tcPr>
          <w:p w14:paraId="16FC510C">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bCs/>
                <w:kern w:val="0"/>
                <w:sz w:val="18"/>
                <w:szCs w:val="18"/>
              </w:rPr>
              <w:t>Fields</w:t>
            </w:r>
          </w:p>
        </w:tc>
        <w:tc>
          <w:tcPr>
            <w:tcW w:w="496" w:type="pct"/>
            <w:vAlign w:val="center"/>
          </w:tcPr>
          <w:p w14:paraId="039BEA5D">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bCs/>
                <w:kern w:val="0"/>
                <w:sz w:val="18"/>
                <w:szCs w:val="18"/>
              </w:rPr>
              <w:t>Est. Time</w:t>
            </w:r>
          </w:p>
        </w:tc>
        <w:tc>
          <w:tcPr>
            <w:tcW w:w="675" w:type="pct"/>
            <w:vAlign w:val="center"/>
          </w:tcPr>
          <w:p w14:paraId="6A33A873">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bCs/>
                <w:kern w:val="0"/>
                <w:sz w:val="18"/>
                <w:szCs w:val="18"/>
              </w:rPr>
              <w:t>Scale (RMB)</w:t>
            </w:r>
          </w:p>
        </w:tc>
        <w:tc>
          <w:tcPr>
            <w:tcW w:w="1119" w:type="pct"/>
            <w:vAlign w:val="center"/>
          </w:tcPr>
          <w:p w14:paraId="249579CC">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bCs/>
                <w:kern w:val="0"/>
                <w:sz w:val="18"/>
                <w:szCs w:val="18"/>
              </w:rPr>
              <w:t>Remarks</w:t>
            </w:r>
          </w:p>
        </w:tc>
      </w:tr>
      <w:tr w14:paraId="399643CD">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387" w:type="pct"/>
            <w:shd w:val="clear" w:color="auto" w:fill="EAF1DD"/>
            <w:vAlign w:val="center"/>
          </w:tcPr>
          <w:p w14:paraId="704CB645">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1</w:t>
            </w:r>
          </w:p>
        </w:tc>
        <w:tc>
          <w:tcPr>
            <w:tcW w:w="1001" w:type="pct"/>
            <w:shd w:val="clear" w:color="auto" w:fill="EAF1DD"/>
            <w:vAlign w:val="center"/>
          </w:tcPr>
          <w:p w14:paraId="26C85FF8">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Hunan Province Mobile Internet Investment Fund</w:t>
            </w:r>
          </w:p>
        </w:tc>
        <w:tc>
          <w:tcPr>
            <w:tcW w:w="1322" w:type="pct"/>
            <w:shd w:val="clear" w:color="auto" w:fill="EAF1DD"/>
            <w:vAlign w:val="center"/>
          </w:tcPr>
          <w:p w14:paraId="3CF52C45">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Mobile Internet</w:t>
            </w:r>
          </w:p>
        </w:tc>
        <w:tc>
          <w:tcPr>
            <w:tcW w:w="496" w:type="pct"/>
            <w:shd w:val="clear" w:color="auto" w:fill="EAF1DD"/>
            <w:vAlign w:val="center"/>
          </w:tcPr>
          <w:p w14:paraId="5A78343F">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2015</w:t>
            </w:r>
          </w:p>
        </w:tc>
        <w:tc>
          <w:tcPr>
            <w:tcW w:w="675" w:type="pct"/>
            <w:shd w:val="clear" w:color="auto" w:fill="EAF1DD"/>
            <w:vAlign w:val="center"/>
          </w:tcPr>
          <w:p w14:paraId="500942E4">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w:t>
            </w:r>
          </w:p>
        </w:tc>
        <w:tc>
          <w:tcPr>
            <w:tcW w:w="1119" w:type="pct"/>
            <w:shd w:val="clear" w:color="auto" w:fill="EAF1DD"/>
            <w:vAlign w:val="center"/>
          </w:tcPr>
          <w:p w14:paraId="1C473410">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Jointly initiated by Hunan High-Tech Investment Group and People’s Government of Changsha City</w:t>
            </w:r>
          </w:p>
        </w:tc>
      </w:tr>
      <w:tr w14:paraId="3BFEDB5E">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387" w:type="pct"/>
            <w:vAlign w:val="center"/>
          </w:tcPr>
          <w:p w14:paraId="397046FB">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2</w:t>
            </w:r>
          </w:p>
        </w:tc>
        <w:tc>
          <w:tcPr>
            <w:tcW w:w="1001" w:type="pct"/>
            <w:vAlign w:val="center"/>
          </w:tcPr>
          <w:p w14:paraId="37F4F4B5">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Hunan Province Emerging Industry Equity Investment Guidance Fund</w:t>
            </w:r>
          </w:p>
        </w:tc>
        <w:tc>
          <w:tcPr>
            <w:tcW w:w="1322" w:type="pct"/>
            <w:vAlign w:val="center"/>
          </w:tcPr>
          <w:p w14:paraId="33CA35EF">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Information technology and cultural creativity (with a focus on information security and AR, VR, etc.)</w:t>
            </w:r>
          </w:p>
        </w:tc>
        <w:tc>
          <w:tcPr>
            <w:tcW w:w="496" w:type="pct"/>
            <w:vAlign w:val="center"/>
          </w:tcPr>
          <w:p w14:paraId="097F5760">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2018</w:t>
            </w:r>
          </w:p>
        </w:tc>
        <w:tc>
          <w:tcPr>
            <w:tcW w:w="675" w:type="pct"/>
            <w:vAlign w:val="center"/>
          </w:tcPr>
          <w:p w14:paraId="1F97AFA2">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 xml:space="preserve">35 billion; </w:t>
            </w:r>
            <w:r>
              <w:rPr>
                <w:rFonts w:ascii="Times New Roman" w:hAnsi="Times New Roman" w:eastAsia="仿宋" w:cs="Times New Roman"/>
                <w:kern w:val="0"/>
                <w:sz w:val="18"/>
                <w:szCs w:val="18"/>
              </w:rPr>
              <w:t>phase Ⅰ:</w:t>
            </w:r>
            <w:r>
              <w:rPr>
                <w:rFonts w:ascii="Times New Roman" w:hAnsi="Times New Roman" w:eastAsia="楷体" w:cs="Times New Roman"/>
                <w:kern w:val="0"/>
                <w:sz w:val="18"/>
                <w:szCs w:val="18"/>
              </w:rPr>
              <w:t xml:space="preserve"> 10 billion</w:t>
            </w:r>
          </w:p>
        </w:tc>
        <w:tc>
          <w:tcPr>
            <w:tcW w:w="1119" w:type="pct"/>
            <w:vAlign w:val="center"/>
          </w:tcPr>
          <w:p w14:paraId="00CA8AC0">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Managed by Hunan Chasing Fund Management 8 sub-funds have been established</w:t>
            </w:r>
          </w:p>
        </w:tc>
      </w:tr>
      <w:tr w14:paraId="4C2F3364">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387" w:type="pct"/>
            <w:shd w:val="clear" w:color="auto" w:fill="EAF1DD"/>
            <w:vAlign w:val="center"/>
          </w:tcPr>
          <w:p w14:paraId="67D72562">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3</w:t>
            </w:r>
          </w:p>
        </w:tc>
        <w:tc>
          <w:tcPr>
            <w:tcW w:w="1001" w:type="pct"/>
            <w:shd w:val="clear" w:color="auto" w:fill="EAF1DD"/>
            <w:vAlign w:val="center"/>
          </w:tcPr>
          <w:p w14:paraId="5F157AA1">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Chasing Jingjin Fund</w:t>
            </w:r>
          </w:p>
        </w:tc>
        <w:tc>
          <w:tcPr>
            <w:tcW w:w="1322" w:type="pct"/>
            <w:shd w:val="clear" w:color="auto" w:fill="EAF1DD"/>
            <w:vAlign w:val="center"/>
          </w:tcPr>
          <w:p w14:paraId="3D1FE649">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Information technology and smart travel</w:t>
            </w:r>
          </w:p>
        </w:tc>
        <w:tc>
          <w:tcPr>
            <w:tcW w:w="496" w:type="pct"/>
            <w:shd w:val="clear" w:color="auto" w:fill="EAF1DD"/>
            <w:vAlign w:val="center"/>
          </w:tcPr>
          <w:p w14:paraId="2B9D3154">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2019</w:t>
            </w:r>
          </w:p>
        </w:tc>
        <w:tc>
          <w:tcPr>
            <w:tcW w:w="675" w:type="pct"/>
            <w:shd w:val="clear" w:color="auto" w:fill="EAF1DD"/>
            <w:vAlign w:val="center"/>
          </w:tcPr>
          <w:p w14:paraId="1AF3D3EC">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5 billion yuan expected</w:t>
            </w:r>
          </w:p>
        </w:tc>
        <w:tc>
          <w:tcPr>
            <w:tcW w:w="1119" w:type="pct"/>
            <w:shd w:val="clear" w:color="auto" w:fill="EAF1DD"/>
            <w:vAlign w:val="center"/>
          </w:tcPr>
          <w:p w14:paraId="1CCE09F4">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Managed by Hunan Chasing Fund Management</w:t>
            </w:r>
          </w:p>
        </w:tc>
      </w:tr>
      <w:tr w14:paraId="5A6ECA23">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63" w:hRule="atLeast"/>
        </w:trPr>
        <w:tc>
          <w:tcPr>
            <w:tcW w:w="387" w:type="pct"/>
            <w:vAlign w:val="center"/>
          </w:tcPr>
          <w:p w14:paraId="0CC4769E">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4</w:t>
            </w:r>
          </w:p>
        </w:tc>
        <w:tc>
          <w:tcPr>
            <w:tcW w:w="1001" w:type="pct"/>
            <w:vAlign w:val="center"/>
          </w:tcPr>
          <w:p w14:paraId="7D19E010">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Changsha Industrial Development Fund of Funds (FOF)</w:t>
            </w:r>
          </w:p>
        </w:tc>
        <w:tc>
          <w:tcPr>
            <w:tcW w:w="1322" w:type="pct"/>
            <w:vAlign w:val="center"/>
          </w:tcPr>
          <w:p w14:paraId="37088823">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22 industrial and emerging advantageous industry chains and the “1+2+N” advanced manufacturing clusters, including secure and reliable computers and innovative applications, intelligent connected vehicles, AI, and robotics</w:t>
            </w:r>
          </w:p>
        </w:tc>
        <w:tc>
          <w:tcPr>
            <w:tcW w:w="496" w:type="pct"/>
            <w:vAlign w:val="center"/>
          </w:tcPr>
          <w:p w14:paraId="03808E67">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2023</w:t>
            </w:r>
          </w:p>
        </w:tc>
        <w:tc>
          <w:tcPr>
            <w:tcW w:w="675" w:type="pct"/>
            <w:vAlign w:val="center"/>
          </w:tcPr>
          <w:p w14:paraId="389BF7B6">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30 billion</w:t>
            </w:r>
          </w:p>
        </w:tc>
        <w:tc>
          <w:tcPr>
            <w:tcW w:w="1119" w:type="pct"/>
            <w:vAlign w:val="center"/>
          </w:tcPr>
          <w:p w14:paraId="65801E8F">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Set up by Changsha Investment Holdings</w:t>
            </w:r>
          </w:p>
        </w:tc>
      </w:tr>
      <w:tr w14:paraId="1FB551AC">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387" w:type="pct"/>
            <w:shd w:val="clear" w:color="auto" w:fill="EAF1DD"/>
            <w:vAlign w:val="center"/>
          </w:tcPr>
          <w:p w14:paraId="62058C19">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5</w:t>
            </w:r>
          </w:p>
        </w:tc>
        <w:tc>
          <w:tcPr>
            <w:tcW w:w="1001" w:type="pct"/>
            <w:shd w:val="clear" w:color="auto" w:fill="EAF1DD"/>
            <w:vAlign w:val="center"/>
          </w:tcPr>
          <w:p w14:paraId="217ED908">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Hengyang Industrial Investment Fund</w:t>
            </w:r>
          </w:p>
        </w:tc>
        <w:tc>
          <w:tcPr>
            <w:tcW w:w="1322" w:type="pct"/>
            <w:shd w:val="clear" w:color="auto" w:fill="EAF1DD"/>
            <w:vAlign w:val="center"/>
          </w:tcPr>
          <w:p w14:paraId="22A609B3">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High-end CNC machine tools, precision grinding tools and robots, electronic information</w:t>
            </w:r>
          </w:p>
        </w:tc>
        <w:tc>
          <w:tcPr>
            <w:tcW w:w="496" w:type="pct"/>
            <w:shd w:val="clear" w:color="auto" w:fill="EAF1DD"/>
            <w:vAlign w:val="center"/>
          </w:tcPr>
          <w:p w14:paraId="0FA060D4">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2018</w:t>
            </w:r>
          </w:p>
        </w:tc>
        <w:tc>
          <w:tcPr>
            <w:tcW w:w="675" w:type="pct"/>
            <w:shd w:val="clear" w:color="auto" w:fill="EAF1DD"/>
            <w:vAlign w:val="center"/>
          </w:tcPr>
          <w:p w14:paraId="20A6BEFF">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6 billion +</w:t>
            </w:r>
          </w:p>
        </w:tc>
        <w:tc>
          <w:tcPr>
            <w:tcW w:w="1119" w:type="pct"/>
            <w:shd w:val="clear" w:color="auto" w:fill="EAF1DD"/>
            <w:vAlign w:val="center"/>
          </w:tcPr>
          <w:p w14:paraId="3ED6B218">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The government has contributed 1.5 billion yuan as an industrial guiding fund and set up sub-funds through cooperation with other private capital</w:t>
            </w:r>
          </w:p>
        </w:tc>
      </w:tr>
      <w:tr w14:paraId="150C29B4">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387" w:type="pct"/>
            <w:vAlign w:val="center"/>
          </w:tcPr>
          <w:p w14:paraId="22FF2DE1">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6</w:t>
            </w:r>
          </w:p>
        </w:tc>
        <w:tc>
          <w:tcPr>
            <w:tcW w:w="1001" w:type="pct"/>
            <w:vAlign w:val="center"/>
          </w:tcPr>
          <w:p w14:paraId="740D46CB">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Hunan Xiangjiang Shengshi Stock Investment Fund</w:t>
            </w:r>
          </w:p>
        </w:tc>
        <w:tc>
          <w:tcPr>
            <w:tcW w:w="1322" w:type="pct"/>
            <w:vAlign w:val="center"/>
          </w:tcPr>
          <w:p w14:paraId="77DC8E9D">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The “10+6” industry chains such as high-end intelligent manufacturing industry, mobile Internet industry, new generation information technology; intelligent terminals, ICVs, and power chips</w:t>
            </w:r>
          </w:p>
        </w:tc>
        <w:tc>
          <w:tcPr>
            <w:tcW w:w="496" w:type="pct"/>
            <w:vAlign w:val="center"/>
          </w:tcPr>
          <w:p w14:paraId="33BC9DFA">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2017</w:t>
            </w:r>
          </w:p>
        </w:tc>
        <w:tc>
          <w:tcPr>
            <w:tcW w:w="675" w:type="pct"/>
            <w:vAlign w:val="center"/>
          </w:tcPr>
          <w:p w14:paraId="3EACD38D">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 billion</w:t>
            </w:r>
          </w:p>
        </w:tc>
        <w:tc>
          <w:tcPr>
            <w:tcW w:w="1119" w:type="pct"/>
            <w:vAlign w:val="center"/>
          </w:tcPr>
          <w:p w14:paraId="5B18B5BF">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Initiated by Hunan Xiangjiang New Area</w:t>
            </w:r>
          </w:p>
        </w:tc>
      </w:tr>
      <w:tr w14:paraId="5C0E009C">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387" w:type="pct"/>
            <w:shd w:val="clear" w:color="auto" w:fill="EAF1DD"/>
            <w:vAlign w:val="center"/>
          </w:tcPr>
          <w:p w14:paraId="01047BEF">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7</w:t>
            </w:r>
          </w:p>
        </w:tc>
        <w:tc>
          <w:tcPr>
            <w:tcW w:w="1001" w:type="pct"/>
            <w:shd w:val="clear" w:color="auto" w:fill="EAF1DD"/>
            <w:vAlign w:val="center"/>
          </w:tcPr>
          <w:p w14:paraId="42F97AAC">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Changsha Gaochuang Industrial Investment AI Industry Chain Investment Fund</w:t>
            </w:r>
          </w:p>
        </w:tc>
        <w:tc>
          <w:tcPr>
            <w:tcW w:w="1322" w:type="pct"/>
            <w:shd w:val="clear" w:color="auto" w:fill="EAF1DD"/>
            <w:vAlign w:val="center"/>
          </w:tcPr>
          <w:p w14:paraId="096B60C0">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AI industry chain</w:t>
            </w:r>
          </w:p>
        </w:tc>
        <w:tc>
          <w:tcPr>
            <w:tcW w:w="496" w:type="pct"/>
            <w:shd w:val="clear" w:color="auto" w:fill="EAF1DD"/>
            <w:vAlign w:val="center"/>
          </w:tcPr>
          <w:p w14:paraId="3A5FA7AA">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2020</w:t>
            </w:r>
          </w:p>
        </w:tc>
        <w:tc>
          <w:tcPr>
            <w:tcW w:w="675" w:type="pct"/>
            <w:shd w:val="clear" w:color="auto" w:fill="EAF1DD"/>
            <w:vAlign w:val="center"/>
          </w:tcPr>
          <w:p w14:paraId="3F9E7574">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1 billion expected</w:t>
            </w:r>
          </w:p>
        </w:tc>
        <w:tc>
          <w:tcPr>
            <w:tcW w:w="1119" w:type="pct"/>
            <w:shd w:val="clear" w:color="auto" w:fill="EAF1DD"/>
            <w:vAlign w:val="center"/>
          </w:tcPr>
          <w:p w14:paraId="5C6F7E11">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Jointly initiated by Hunan High-Tech Investment Group and Changsha Industry Investment Group</w:t>
            </w:r>
          </w:p>
        </w:tc>
      </w:tr>
    </w:tbl>
    <w:p w14:paraId="57C00829">
      <w:pPr>
        <w:snapToGrid w:val="0"/>
        <w:spacing w:beforeLines="50" w:line="360" w:lineRule="exact"/>
        <w:ind w:firstLine="442" w:firstLineChars="200"/>
        <w:outlineLvl w:val="2"/>
        <w:rPr>
          <w:rFonts w:ascii="Times New Roman" w:hAnsi="Times New Roman" w:eastAsia="黑体" w:cs="Times New Roman"/>
          <w:b/>
          <w:sz w:val="22"/>
        </w:rPr>
      </w:pPr>
      <w:bookmarkStart w:id="211" w:name="_Toc163910364"/>
      <w:r>
        <w:rPr>
          <w:rFonts w:ascii="Times New Roman" w:hAnsi="Times New Roman" w:eastAsia="黑体" w:cs="Times New Roman"/>
          <w:b/>
          <w:sz w:val="22"/>
        </w:rPr>
        <w:t xml:space="preserve">(4) Investment </w:t>
      </w:r>
      <w:r>
        <w:rPr>
          <w:rFonts w:ascii="Times New Roman" w:hAnsi="Times New Roman" w:eastAsia="黑体" w:cs="Times New Roman"/>
          <w:b/>
          <w:sz w:val="22"/>
          <w:szCs w:val="24"/>
        </w:rPr>
        <w:t>O</w:t>
      </w:r>
      <w:r>
        <w:rPr>
          <w:rFonts w:hint="eastAsia" w:ascii="Times New Roman" w:hAnsi="Times New Roman" w:eastAsia="黑体" w:cs="Times New Roman"/>
          <w:b/>
          <w:sz w:val="22"/>
          <w:szCs w:val="24"/>
        </w:rPr>
        <w:t>rientation</w:t>
      </w:r>
      <w:r>
        <w:rPr>
          <w:rFonts w:ascii="Times New Roman" w:hAnsi="Times New Roman" w:eastAsia="黑体" w:cs="Times New Roman"/>
          <w:b/>
          <w:sz w:val="22"/>
        </w:rPr>
        <w:t xml:space="preserve"> and Industrial Layout</w:t>
      </w:r>
      <w:bookmarkEnd w:id="211"/>
    </w:p>
    <w:p w14:paraId="03762D99">
      <w:pPr>
        <w:widowControl/>
        <w:snapToGrid w:val="0"/>
        <w:spacing w:line="360" w:lineRule="exact"/>
        <w:ind w:firstLine="442" w:firstLineChars="200"/>
        <w:rPr>
          <w:rFonts w:ascii="Times New Roman" w:hAnsi="Times New Roman" w:eastAsia="仿宋" w:cs="Times New Roman"/>
          <w:kern w:val="0"/>
          <w:sz w:val="22"/>
        </w:rPr>
      </w:pPr>
      <w:r>
        <w:rPr>
          <w:rFonts w:ascii="Times New Roman" w:hAnsi="Times New Roman" w:eastAsia="仿宋" w:cs="Times New Roman"/>
          <w:b/>
          <w:bCs/>
          <w:kern w:val="0"/>
          <w:sz w:val="22"/>
        </w:rPr>
        <w:t>Key technological innovation.</w:t>
      </w:r>
      <w:r>
        <w:rPr>
          <w:rFonts w:ascii="Times New Roman" w:hAnsi="Times New Roman" w:eastAsia="仿宋" w:cs="Times New Roman"/>
          <w:kern w:val="0"/>
          <w:sz w:val="22"/>
        </w:rPr>
        <w:t xml:space="preserve"> Based on the AI forefront, such as Xiangjiang Science City, HNFTZ Changsha Area, and Malanshan Base, </w:t>
      </w:r>
      <w:r>
        <w:rPr>
          <w:rFonts w:ascii="Times New Roman" w:hAnsi="Times New Roman" w:eastAsia="仿宋" w:cs="Times New Roman"/>
          <w:bCs/>
          <w:kern w:val="0"/>
          <w:sz w:val="22"/>
        </w:rPr>
        <w:t>priority will be given to</w:t>
      </w:r>
      <w:r>
        <w:rPr>
          <w:rFonts w:ascii="Times New Roman" w:hAnsi="Times New Roman" w:eastAsia="仿宋" w:cs="Times New Roman"/>
          <w:kern w:val="0"/>
          <w:sz w:val="22"/>
        </w:rPr>
        <w:t xml:space="preserve"> research institutions specializing in fundamental theories and algorithms such as neuromorphic intelligence, generative AI, machine learning, as well as key institutions in computer vision, human-computer interaction, and large model computing architecture.</w:t>
      </w:r>
    </w:p>
    <w:p w14:paraId="1B4DDF93">
      <w:pPr>
        <w:widowControl/>
        <w:snapToGrid w:val="0"/>
        <w:spacing w:line="360" w:lineRule="exact"/>
        <w:ind w:firstLine="440" w:firstLineChars="200"/>
        <w:rPr>
          <w:rFonts w:hint="eastAsia" w:ascii="Times New Roman" w:hAnsi="Times New Roman" w:eastAsia="仿宋" w:cs="Times New Roman"/>
          <w:kern w:val="0"/>
          <w:sz w:val="22"/>
        </w:rPr>
      </w:pPr>
      <w:r>
        <w:rPr>
          <w:rFonts w:hint="eastAsia" w:ascii="Times New Roman" w:hAnsi="Times New Roman" w:eastAsia="仿宋" w:cs="Times New Roman"/>
          <w:kern w:val="0"/>
          <w:sz w:val="22"/>
        </w:rPr>
        <w:t>Core components and systems. Based on the Xiangjiang New Area and Tianxin ETDZ, we aim to attract enterprises engaged in the R&amp;D and manufacturing of key hardware and software for AI such as chips and sensors to establish operating systems and industry application solutions of independent hardware and software.</w:t>
      </w:r>
    </w:p>
    <w:p w14:paraId="0FC4501B">
      <w:pPr>
        <w:widowControl/>
        <w:snapToGrid w:val="0"/>
        <w:spacing w:line="360" w:lineRule="exact"/>
        <w:ind w:firstLine="440" w:firstLineChars="200"/>
        <w:rPr>
          <w:rFonts w:hint="eastAsia" w:ascii="Times New Roman" w:hAnsi="Times New Roman" w:eastAsia="仿宋" w:cs="Times New Roman"/>
          <w:kern w:val="0"/>
          <w:sz w:val="22"/>
        </w:rPr>
      </w:pPr>
      <w:r>
        <w:rPr>
          <w:rFonts w:hint="eastAsia" w:ascii="Times New Roman" w:hAnsi="Times New Roman" w:eastAsia="仿宋" w:cs="Times New Roman"/>
          <w:kern w:val="0"/>
          <w:sz w:val="22"/>
        </w:rPr>
        <w:t>Intelligent products and innovative applications. Based on various industrial parks across the province, we aim to promote the application of AI in intelligent manufacturing, logistics, transportation, and other sectors, and attract enterprises engaged in the R&amp;D and manufacturing of intelligent terminal products such as ICVs, intelligent rail transit products, intelligent construction machinery, intelligent robots, intelligent terminals, and smart home products.</w:t>
      </w:r>
    </w:p>
    <w:p w14:paraId="4918B58F">
      <w:pPr>
        <w:widowControl/>
        <w:snapToGrid w:val="0"/>
        <w:spacing w:line="360" w:lineRule="exact"/>
        <w:ind w:firstLine="440" w:firstLineChars="200"/>
        <w:rPr>
          <w:rFonts w:hint="eastAsia" w:ascii="Times New Roman" w:hAnsi="Times New Roman" w:eastAsia="仿宋" w:cs="Times New Roman"/>
          <w:kern w:val="0"/>
          <w:sz w:val="22"/>
        </w:rPr>
      </w:pPr>
    </w:p>
    <w:p w14:paraId="7F5436EB">
      <w:pPr>
        <w:widowControl/>
        <w:snapToGrid w:val="0"/>
        <w:spacing w:line="360" w:lineRule="exact"/>
        <w:ind w:firstLine="440" w:firstLineChars="200"/>
        <w:rPr>
          <w:rFonts w:hint="eastAsia" w:ascii="Times New Roman" w:hAnsi="Times New Roman" w:eastAsia="仿宋" w:cs="Times New Roman"/>
          <w:kern w:val="0"/>
          <w:sz w:val="22"/>
        </w:rPr>
      </w:pPr>
    </w:p>
    <w:p w14:paraId="6AF8910B">
      <w:pPr>
        <w:widowControl/>
        <w:snapToGrid w:val="0"/>
        <w:spacing w:line="360" w:lineRule="exact"/>
        <w:ind w:firstLine="440" w:firstLineChars="200"/>
        <w:rPr>
          <w:rFonts w:hint="eastAsia" w:ascii="Times New Roman" w:hAnsi="Times New Roman" w:eastAsia="仿宋" w:cs="Times New Roman"/>
          <w:kern w:val="0"/>
          <w:sz w:val="22"/>
        </w:rPr>
      </w:pPr>
    </w:p>
    <w:p w14:paraId="07E81DD4">
      <w:pPr>
        <w:widowControl/>
        <w:snapToGrid w:val="0"/>
        <w:spacing w:line="360" w:lineRule="exact"/>
        <w:ind w:firstLine="440" w:firstLineChars="200"/>
        <w:rPr>
          <w:rFonts w:hint="eastAsia" w:ascii="Times New Roman" w:hAnsi="Times New Roman" w:eastAsia="仿宋" w:cs="Times New Roman"/>
          <w:kern w:val="0"/>
          <w:sz w:val="22"/>
        </w:rPr>
      </w:pPr>
    </w:p>
    <w:p w14:paraId="223D1B20">
      <w:pPr>
        <w:widowControl/>
        <w:snapToGrid w:val="0"/>
        <w:spacing w:line="360" w:lineRule="exact"/>
        <w:ind w:firstLine="440" w:firstLineChars="200"/>
        <w:rPr>
          <w:rFonts w:hint="eastAsia" w:ascii="Times New Roman" w:hAnsi="Times New Roman" w:eastAsia="仿宋" w:cs="Times New Roman"/>
          <w:kern w:val="0"/>
          <w:sz w:val="22"/>
        </w:rPr>
      </w:pPr>
    </w:p>
    <w:p w14:paraId="2870CBE2">
      <w:pPr>
        <w:widowControl/>
        <w:snapToGrid w:val="0"/>
        <w:spacing w:line="360" w:lineRule="exact"/>
        <w:ind w:firstLine="440" w:firstLineChars="200"/>
        <w:rPr>
          <w:rFonts w:hint="eastAsia" w:ascii="Times New Roman" w:hAnsi="Times New Roman" w:eastAsia="仿宋" w:cs="Times New Roman"/>
          <w:kern w:val="0"/>
          <w:sz w:val="22"/>
        </w:rPr>
      </w:pPr>
    </w:p>
    <w:p w14:paraId="73E4BAE2">
      <w:pPr>
        <w:widowControl/>
        <w:snapToGrid w:val="0"/>
        <w:spacing w:line="360" w:lineRule="exact"/>
        <w:ind w:firstLine="440" w:firstLineChars="200"/>
        <w:rPr>
          <w:rFonts w:hint="eastAsia" w:ascii="Times New Roman" w:hAnsi="Times New Roman" w:eastAsia="仿宋" w:cs="Times New Roman"/>
          <w:kern w:val="0"/>
          <w:sz w:val="22"/>
        </w:rPr>
      </w:pPr>
    </w:p>
    <w:p w14:paraId="2889EBC6">
      <w:pPr>
        <w:widowControl/>
        <w:snapToGrid w:val="0"/>
        <w:spacing w:line="360" w:lineRule="exact"/>
        <w:ind w:firstLine="440" w:firstLineChars="200"/>
        <w:rPr>
          <w:rFonts w:hint="eastAsia" w:ascii="Times New Roman" w:hAnsi="Times New Roman" w:eastAsia="仿宋" w:cs="Times New Roman"/>
          <w:kern w:val="0"/>
          <w:sz w:val="22"/>
        </w:rPr>
      </w:pPr>
    </w:p>
    <w:p w14:paraId="37D6D7F4">
      <w:pPr>
        <w:widowControl/>
        <w:snapToGrid w:val="0"/>
        <w:spacing w:line="360" w:lineRule="exact"/>
        <w:ind w:firstLine="440" w:firstLineChars="200"/>
        <w:rPr>
          <w:rFonts w:hint="eastAsia" w:ascii="Times New Roman" w:hAnsi="Times New Roman" w:eastAsia="仿宋" w:cs="Times New Roman"/>
          <w:kern w:val="0"/>
          <w:sz w:val="22"/>
        </w:rPr>
      </w:pPr>
    </w:p>
    <w:p w14:paraId="168517BD">
      <w:pPr>
        <w:widowControl/>
        <w:snapToGrid w:val="0"/>
        <w:spacing w:line="360" w:lineRule="exact"/>
        <w:ind w:firstLine="440" w:firstLineChars="200"/>
        <w:rPr>
          <w:rFonts w:hint="eastAsia" w:ascii="Times New Roman" w:hAnsi="Times New Roman" w:eastAsia="仿宋" w:cs="Times New Roman"/>
          <w:kern w:val="0"/>
          <w:sz w:val="22"/>
        </w:rPr>
      </w:pPr>
    </w:p>
    <w:p w14:paraId="64808EF6">
      <w:pPr>
        <w:widowControl/>
        <w:snapToGrid w:val="0"/>
        <w:spacing w:line="360" w:lineRule="exact"/>
        <w:ind w:firstLine="440" w:firstLineChars="200"/>
        <w:rPr>
          <w:rFonts w:hint="eastAsia" w:ascii="Times New Roman" w:hAnsi="Times New Roman" w:eastAsia="仿宋" w:cs="Times New Roman"/>
          <w:kern w:val="0"/>
          <w:sz w:val="22"/>
        </w:rPr>
      </w:pPr>
    </w:p>
    <w:p w14:paraId="192D0954">
      <w:pPr>
        <w:widowControl/>
        <w:snapToGrid w:val="0"/>
        <w:spacing w:line="360" w:lineRule="exact"/>
        <w:ind w:firstLine="440" w:firstLineChars="200"/>
        <w:rPr>
          <w:rFonts w:hint="eastAsia" w:ascii="Times New Roman" w:hAnsi="Times New Roman" w:eastAsia="仿宋" w:cs="Times New Roman"/>
          <w:kern w:val="0"/>
          <w:sz w:val="22"/>
        </w:rPr>
      </w:pPr>
    </w:p>
    <w:p w14:paraId="4E39D1B0">
      <w:pPr>
        <w:widowControl/>
        <w:snapToGrid w:val="0"/>
        <w:spacing w:line="360" w:lineRule="exact"/>
        <w:ind w:firstLine="440" w:firstLineChars="200"/>
        <w:rPr>
          <w:rFonts w:hint="eastAsia" w:ascii="Times New Roman" w:hAnsi="Times New Roman" w:eastAsia="仿宋" w:cs="Times New Roman"/>
          <w:kern w:val="0"/>
          <w:sz w:val="22"/>
        </w:rPr>
      </w:pPr>
    </w:p>
    <w:p w14:paraId="60F1AA95">
      <w:pPr>
        <w:widowControl/>
        <w:snapToGrid w:val="0"/>
        <w:spacing w:line="360" w:lineRule="exact"/>
        <w:ind w:firstLine="440" w:firstLineChars="200"/>
        <w:rPr>
          <w:rFonts w:hint="eastAsia" w:ascii="Times New Roman" w:hAnsi="Times New Roman" w:eastAsia="仿宋" w:cs="Times New Roman"/>
          <w:kern w:val="0"/>
          <w:sz w:val="22"/>
        </w:rPr>
      </w:pPr>
    </w:p>
    <w:p w14:paraId="33802BEB">
      <w:pPr>
        <w:widowControl/>
        <w:snapToGrid w:val="0"/>
        <w:spacing w:line="360" w:lineRule="exact"/>
        <w:ind w:firstLine="440" w:firstLineChars="200"/>
        <w:rPr>
          <w:rFonts w:hint="eastAsia" w:ascii="Times New Roman" w:hAnsi="Times New Roman" w:eastAsia="仿宋" w:cs="Times New Roman"/>
          <w:kern w:val="0"/>
          <w:sz w:val="22"/>
        </w:rPr>
      </w:pPr>
    </w:p>
    <w:p w14:paraId="0E5FB8F6">
      <w:pPr>
        <w:widowControl/>
        <w:snapToGrid w:val="0"/>
        <w:spacing w:line="360" w:lineRule="exact"/>
        <w:ind w:firstLine="440" w:firstLineChars="200"/>
        <w:rPr>
          <w:rFonts w:hint="eastAsia" w:ascii="Times New Roman" w:hAnsi="Times New Roman" w:eastAsia="仿宋" w:cs="Times New Roman"/>
          <w:kern w:val="0"/>
          <w:sz w:val="22"/>
        </w:rPr>
      </w:pPr>
    </w:p>
    <w:p w14:paraId="0F9FAE3F">
      <w:pPr>
        <w:widowControl/>
        <w:snapToGrid w:val="0"/>
        <w:jc w:val="center"/>
      </w:pPr>
    </w:p>
    <w:p w14:paraId="6B5A434B">
      <w:pPr>
        <w:widowControl/>
        <w:snapToGrid w:val="0"/>
        <w:jc w:val="center"/>
      </w:pPr>
    </w:p>
    <w:p w14:paraId="6637A213">
      <w:pPr>
        <w:widowControl/>
        <w:snapToGrid w:val="0"/>
        <w:jc w:val="center"/>
      </w:pPr>
    </w:p>
    <w:p w14:paraId="17703014">
      <w:pPr>
        <w:widowControl/>
        <w:snapToGrid w:val="0"/>
        <w:jc w:val="center"/>
      </w:pPr>
    </w:p>
    <w:p w14:paraId="3AC5B604">
      <w:pPr>
        <w:widowControl/>
        <w:snapToGrid w:val="0"/>
        <w:jc w:val="center"/>
      </w:pPr>
      <w:r>
        <w:rPr>
          <w:rFonts w:hint="eastAsia"/>
        </w:rPr>
        <w:drawing>
          <wp:anchor distT="0" distB="0" distL="114300" distR="114300" simplePos="0" relativeHeight="251707392" behindDoc="0" locked="0" layoutInCell="1" allowOverlap="1">
            <wp:simplePos x="0" y="0"/>
            <wp:positionH relativeFrom="column">
              <wp:posOffset>-906145</wp:posOffset>
            </wp:positionH>
            <wp:positionV relativeFrom="paragraph">
              <wp:posOffset>124460</wp:posOffset>
            </wp:positionV>
            <wp:extent cx="5628005" cy="3569970"/>
            <wp:effectExtent l="0" t="1028700" r="0" b="1021080"/>
            <wp:wrapNone/>
            <wp:docPr id="11827332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32" name="图片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rot="16200000">
                      <a:off x="0" y="0"/>
                      <a:ext cx="5628005" cy="3569970"/>
                    </a:xfrm>
                    <a:prstGeom prst="rect">
                      <a:avLst/>
                    </a:prstGeom>
                    <a:noFill/>
                    <a:ln>
                      <a:noFill/>
                    </a:ln>
                  </pic:spPr>
                </pic:pic>
              </a:graphicData>
            </a:graphic>
          </wp:anchor>
        </w:drawing>
      </w:r>
    </w:p>
    <w:p w14:paraId="4C6C18BC">
      <w:pPr>
        <w:widowControl/>
        <w:snapToGrid w:val="0"/>
        <w:jc w:val="center"/>
      </w:pPr>
    </w:p>
    <w:p w14:paraId="35ED485C">
      <w:pPr>
        <w:widowControl/>
        <w:snapToGrid w:val="0"/>
        <w:jc w:val="center"/>
      </w:pPr>
    </w:p>
    <w:p w14:paraId="150DF96E">
      <w:pPr>
        <w:widowControl/>
        <w:snapToGrid w:val="0"/>
        <w:jc w:val="center"/>
      </w:pPr>
    </w:p>
    <w:p w14:paraId="42E6D4BF">
      <w:pPr>
        <w:widowControl/>
        <w:snapToGrid w:val="0"/>
        <w:jc w:val="center"/>
      </w:pPr>
    </w:p>
    <w:p w14:paraId="6A5C4FCE">
      <w:pPr>
        <w:widowControl/>
        <w:snapToGrid w:val="0"/>
        <w:jc w:val="center"/>
      </w:pPr>
    </w:p>
    <w:p w14:paraId="29E8A783">
      <w:pPr>
        <w:widowControl/>
        <w:snapToGrid w:val="0"/>
        <w:jc w:val="center"/>
      </w:pPr>
    </w:p>
    <w:p w14:paraId="1054080B">
      <w:pPr>
        <w:widowControl/>
        <w:snapToGrid w:val="0"/>
        <w:jc w:val="center"/>
      </w:pPr>
    </w:p>
    <w:p w14:paraId="5C12245C">
      <w:pPr>
        <w:widowControl/>
        <w:snapToGrid w:val="0"/>
        <w:jc w:val="center"/>
      </w:pPr>
    </w:p>
    <w:p w14:paraId="0EE41BB6">
      <w:pPr>
        <w:widowControl/>
        <w:snapToGrid w:val="0"/>
        <w:jc w:val="center"/>
      </w:pPr>
    </w:p>
    <w:p w14:paraId="44562558">
      <w:pPr>
        <w:widowControl/>
        <w:snapToGrid w:val="0"/>
        <w:jc w:val="center"/>
      </w:pPr>
    </w:p>
    <w:p w14:paraId="7EBEE587">
      <w:pPr>
        <w:widowControl/>
        <w:snapToGrid w:val="0"/>
        <w:jc w:val="center"/>
      </w:pPr>
    </w:p>
    <w:p w14:paraId="1FAA967C">
      <w:pPr>
        <w:widowControl/>
        <w:snapToGrid w:val="0"/>
        <w:jc w:val="center"/>
      </w:pPr>
    </w:p>
    <w:p w14:paraId="0FF6679A">
      <w:pPr>
        <w:widowControl/>
        <w:snapToGrid w:val="0"/>
        <w:jc w:val="center"/>
      </w:pPr>
    </w:p>
    <w:p w14:paraId="42A2D199">
      <w:pPr>
        <w:widowControl/>
        <w:snapToGrid w:val="0"/>
        <w:jc w:val="center"/>
      </w:pPr>
    </w:p>
    <w:p w14:paraId="254B6DC3">
      <w:pPr>
        <w:widowControl/>
        <w:snapToGrid w:val="0"/>
        <w:jc w:val="center"/>
      </w:pPr>
    </w:p>
    <w:p w14:paraId="72DFB987">
      <w:pPr>
        <w:widowControl/>
        <w:snapToGrid w:val="0"/>
        <w:jc w:val="center"/>
      </w:pPr>
    </w:p>
    <w:p w14:paraId="1D2D677A">
      <w:pPr>
        <w:widowControl/>
        <w:snapToGrid w:val="0"/>
        <w:jc w:val="center"/>
      </w:pPr>
    </w:p>
    <w:p w14:paraId="552C374E">
      <w:pPr>
        <w:widowControl/>
        <w:snapToGrid w:val="0"/>
        <w:jc w:val="center"/>
      </w:pPr>
    </w:p>
    <w:p w14:paraId="795F736B">
      <w:pPr>
        <w:widowControl/>
        <w:snapToGrid w:val="0"/>
        <w:jc w:val="center"/>
      </w:pPr>
    </w:p>
    <w:p w14:paraId="4B8763F0">
      <w:pPr>
        <w:widowControl/>
        <w:snapToGrid w:val="0"/>
        <w:jc w:val="center"/>
        <w:rPr>
          <w:rFonts w:ascii="Times New Roman" w:hAnsi="Times New Roman" w:eastAsia="仿宋" w:cs="Times New Roman"/>
          <w:kern w:val="0"/>
          <w:sz w:val="22"/>
        </w:rPr>
      </w:pPr>
    </w:p>
    <w:p w14:paraId="2E3A242A">
      <w:pPr>
        <w:snapToGrid w:val="0"/>
        <w:spacing w:line="360" w:lineRule="exact"/>
        <w:ind w:firstLine="440" w:firstLineChars="200"/>
        <w:rPr>
          <w:rFonts w:ascii="Times New Roman" w:hAnsi="Times New Roman" w:eastAsia="仿宋" w:cs="Times New Roman"/>
          <w:sz w:val="22"/>
        </w:rPr>
      </w:pPr>
    </w:p>
    <w:p w14:paraId="502FAF46">
      <w:pPr>
        <w:snapToGrid w:val="0"/>
        <w:spacing w:line="360" w:lineRule="exact"/>
        <w:ind w:firstLine="440" w:firstLineChars="200"/>
        <w:rPr>
          <w:rFonts w:ascii="Times New Roman" w:hAnsi="Times New Roman" w:eastAsia="仿宋" w:cs="Times New Roman"/>
          <w:sz w:val="22"/>
        </w:rPr>
      </w:pPr>
    </w:p>
    <w:p w14:paraId="1825E3BA">
      <w:pPr>
        <w:snapToGrid w:val="0"/>
        <w:spacing w:line="360" w:lineRule="exact"/>
        <w:rPr>
          <w:rFonts w:ascii="Times New Roman" w:hAnsi="Times New Roman" w:eastAsia="仿宋" w:cs="Times New Roman"/>
          <w:sz w:val="22"/>
          <w:szCs w:val="24"/>
        </w:rPr>
        <w:sectPr>
          <w:headerReference r:id="rId24" w:type="first"/>
          <w:footerReference r:id="rId26" w:type="first"/>
          <w:headerReference r:id="rId22" w:type="default"/>
          <w:headerReference r:id="rId23" w:type="even"/>
          <w:footerReference r:id="rId25" w:type="even"/>
          <w:pgSz w:w="8391" w:h="11906"/>
          <w:pgMar w:top="1440" w:right="1080" w:bottom="1440" w:left="1080" w:header="851" w:footer="992" w:gutter="0"/>
          <w:cols w:space="425" w:num="1"/>
          <w:docGrid w:type="lines" w:linePitch="312" w:charSpace="0"/>
        </w:sectPr>
      </w:pPr>
    </w:p>
    <w:p w14:paraId="19E5B7EA">
      <w:pPr>
        <w:keepNext/>
        <w:snapToGrid w:val="0"/>
        <w:spacing w:afterLines="50" w:line="360" w:lineRule="exact"/>
        <w:jc w:val="center"/>
        <w:outlineLvl w:val="1"/>
        <w:rPr>
          <w:rFonts w:ascii="Times New Roman" w:hAnsi="Times New Roman" w:eastAsia="仿宋" w:cs="Times New Roman"/>
          <w:b/>
          <w:bCs/>
          <w:sz w:val="22"/>
          <w:szCs w:val="24"/>
        </w:rPr>
      </w:pPr>
      <w:bookmarkStart w:id="212" w:name="_Toc163910365"/>
      <w:r>
        <w:rPr>
          <w:rFonts w:ascii="Times New Roman" w:hAnsi="Times New Roman" w:eastAsia="仿宋" w:cs="Times New Roman"/>
          <w:b/>
          <w:bCs/>
          <w:sz w:val="22"/>
          <w:szCs w:val="24"/>
        </w:rPr>
        <w:t>14. Life Engineering</w:t>
      </w:r>
      <w:bookmarkEnd w:id="212"/>
    </w:p>
    <w:p w14:paraId="189764D7">
      <w:pPr>
        <w:snapToGrid w:val="0"/>
        <w:spacing w:line="360" w:lineRule="exact"/>
        <w:ind w:firstLine="442" w:firstLineChars="200"/>
        <w:outlineLvl w:val="2"/>
        <w:rPr>
          <w:rFonts w:ascii="Times New Roman" w:hAnsi="Times New Roman" w:eastAsia="黑体" w:cs="Times New Roman"/>
          <w:b/>
          <w:sz w:val="22"/>
        </w:rPr>
      </w:pPr>
      <w:bookmarkStart w:id="213" w:name="_Toc163910366"/>
      <w:r>
        <w:rPr>
          <w:rFonts w:ascii="Times New Roman" w:hAnsi="Times New Roman" w:eastAsia="黑体" w:cs="Times New Roman"/>
          <w:b/>
          <w:sz w:val="22"/>
        </w:rPr>
        <w:t>(1) Development Status</w:t>
      </w:r>
      <w:bookmarkEnd w:id="213"/>
    </w:p>
    <w:p w14:paraId="3E6A4D03">
      <w:pPr>
        <w:snapToGrid w:val="0"/>
        <w:spacing w:line="360" w:lineRule="exact"/>
        <w:ind w:firstLine="440" w:firstLineChars="200"/>
        <w:rPr>
          <w:rFonts w:ascii="Times New Roman" w:hAnsi="Times New Roman" w:eastAsia="仿宋" w:cs="Times New Roman"/>
          <w:sz w:val="22"/>
          <w:szCs w:val="24"/>
        </w:rPr>
      </w:pPr>
      <w:r>
        <w:rPr>
          <w:rFonts w:hint="eastAsia" w:ascii="Times New Roman" w:hAnsi="Times New Roman" w:eastAsia="仿宋" w:cs="Times New Roman"/>
          <w:sz w:val="22"/>
          <w:szCs w:val="24"/>
          <w:lang w:val="en-US" w:eastAsia="zh-CN"/>
        </w:rPr>
        <w:t>T</w:t>
      </w:r>
      <w:r>
        <w:rPr>
          <w:rFonts w:ascii="Times New Roman" w:hAnsi="Times New Roman" w:eastAsia="仿宋" w:cs="Times New Roman"/>
          <w:sz w:val="22"/>
          <w:szCs w:val="24"/>
        </w:rPr>
        <w:t>he healthcare industry in the province (including the life engineering industry) reached an output value of approximately 352 billion yuan, with the total output value (revenue) of the biopharmaceutical industry (including gene technology) in Changsha exceeding 170 billion yuan. Hunan Guangxiu Hi-tech Life Technology is currently the only national-level engineering research center in the field of stem cells. It was awarded the Excellent Award in the field of biotechnology at the 2022 National Disruptive Technology Innovation Competition. Yuanpin Biotech is the first company in China certified by both Stem Cell Preparation Quality Management and Cell Bank Quality Management. It is a member of Hunan Cell and Tissue Bank, Hunan Cell Preparation Center, and Stem Cell and Regenerative Medicine Engineering Research Center of Hunan Province.</w:t>
      </w:r>
    </w:p>
    <w:p w14:paraId="5C34F381">
      <w:pPr>
        <w:snapToGrid w:val="0"/>
        <w:rPr>
          <w:rFonts w:ascii="Times New Roman" w:hAnsi="Times New Roman" w:eastAsia="仿宋" w:cs="Times New Roman"/>
          <w:sz w:val="22"/>
          <w:szCs w:val="24"/>
        </w:rPr>
      </w:pPr>
      <w:r>
        <w:drawing>
          <wp:inline distT="0" distB="0" distL="0" distR="0">
            <wp:extent cx="3956685" cy="1863725"/>
            <wp:effectExtent l="0" t="0" r="5715"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3956685" cy="1863978"/>
                    </a:xfrm>
                    <a:prstGeom prst="rect">
                      <a:avLst/>
                    </a:prstGeom>
                    <a:noFill/>
                    <a:ln>
                      <a:noFill/>
                    </a:ln>
                  </pic:spPr>
                </pic:pic>
              </a:graphicData>
            </a:graphic>
          </wp:inline>
        </w:drawing>
      </w:r>
    </w:p>
    <w:p w14:paraId="4732A904">
      <w:pPr>
        <w:adjustRightInd w:val="0"/>
        <w:snapToGrid w:val="0"/>
        <w:spacing w:afterLines="20" w:line="360" w:lineRule="exact"/>
        <w:jc w:val="center"/>
        <w:rPr>
          <w:rFonts w:ascii="Times New Roman" w:hAnsi="Times New Roman" w:eastAsia="黑体" w:cs="Times New Roman"/>
          <w:sz w:val="18"/>
          <w:szCs w:val="18"/>
        </w:rPr>
      </w:pPr>
      <w:r>
        <w:rPr>
          <w:rFonts w:ascii="Times New Roman" w:hAnsi="Times New Roman" w:eastAsia="黑体" w:cs="Times New Roman"/>
          <w:sz w:val="18"/>
          <w:szCs w:val="18"/>
        </w:rPr>
        <w:t>Leading companies in life engineering industry</w:t>
      </w:r>
    </w:p>
    <w:p w14:paraId="73BFF6F6">
      <w:pPr>
        <w:snapToGrid w:val="0"/>
        <w:spacing w:line="360" w:lineRule="exact"/>
        <w:ind w:firstLine="442" w:firstLineChars="200"/>
        <w:outlineLvl w:val="2"/>
        <w:rPr>
          <w:rFonts w:ascii="Times New Roman" w:hAnsi="Times New Roman" w:eastAsia="黑体" w:cs="Times New Roman"/>
          <w:b/>
          <w:sz w:val="22"/>
        </w:rPr>
      </w:pPr>
      <w:bookmarkStart w:id="214" w:name="_Toc163910367"/>
      <w:r>
        <w:rPr>
          <w:rFonts w:ascii="Times New Roman" w:hAnsi="Times New Roman" w:eastAsia="黑体" w:cs="Times New Roman"/>
          <w:b/>
          <w:sz w:val="22"/>
        </w:rPr>
        <w:t>(2) Development Target</w:t>
      </w:r>
      <w:bookmarkEnd w:id="214"/>
    </w:p>
    <w:p w14:paraId="720D0215">
      <w:pPr>
        <w:tabs>
          <w:tab w:val="center" w:pos="4153"/>
          <w:tab w:val="right" w:pos="8306"/>
        </w:tabs>
        <w:snapToGrid w:val="0"/>
        <w:spacing w:line="360" w:lineRule="exact"/>
        <w:ind w:firstLine="361"/>
        <w:rPr>
          <w:rFonts w:ascii="Times New Roman" w:hAnsi="Times New Roman" w:eastAsia="仿宋" w:cs="Times New Roman"/>
          <w:sz w:val="22"/>
        </w:rPr>
      </w:pPr>
      <w:r>
        <w:rPr>
          <w:rFonts w:cs="仿宋_GB2312"/>
        </w:rPr>
        <mc:AlternateContent>
          <mc:Choice Requires="wps">
            <w:drawing>
              <wp:anchor distT="0" distB="0" distL="114300" distR="114300" simplePos="0" relativeHeight="251692032" behindDoc="0" locked="0" layoutInCell="1" allowOverlap="1">
                <wp:simplePos x="0" y="0"/>
                <wp:positionH relativeFrom="margin">
                  <wp:posOffset>3058795</wp:posOffset>
                </wp:positionH>
                <wp:positionV relativeFrom="margin">
                  <wp:posOffset>342900</wp:posOffset>
                </wp:positionV>
                <wp:extent cx="914400" cy="962025"/>
                <wp:effectExtent l="6350" t="6350" r="8890" b="6985"/>
                <wp:wrapSquare wrapText="bothSides"/>
                <wp:docPr id="53" name="文本框 31"/>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53724899">
                            <w:pPr>
                              <w:pStyle w:val="92"/>
                              <w:adjustRightInd w:val="0"/>
                            </w:pPr>
                            <w:r>
                              <w:drawing>
                                <wp:inline distT="0" distB="0" distL="0" distR="0">
                                  <wp:extent cx="722630" cy="722630"/>
                                  <wp:effectExtent l="0" t="0" r="1270" b="127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81">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6891133E">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330B390B">
                            <w:pPr>
                              <w:pStyle w:val="92"/>
                              <w:adjustRightInd w:val="0"/>
                            </w:pPr>
                          </w:p>
                        </w:txbxContent>
                      </wps:txbx>
                      <wps:bodyPr upright="1"/>
                    </wps:wsp>
                  </a:graphicData>
                </a:graphic>
              </wp:anchor>
            </w:drawing>
          </mc:Choice>
          <mc:Fallback>
            <w:pict>
              <v:shape id="文本框 31" o:spid="_x0000_s1026" o:spt="202" type="#_x0000_t202" style="position:absolute;left:0pt;margin-left:240.85pt;margin-top:27pt;height:75.75pt;width:72pt;mso-position-horizontal-relative:margin;mso-position-vertical-relative:margin;mso-wrap-distance-bottom:0pt;mso-wrap-distance-left:9pt;mso-wrap-distance-right:9pt;mso-wrap-distance-top:0pt;z-index:251692032;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">
                <v:fill on="f" focussize="0,0"/>
                <v:stroke weight="1pt" color="#A8D08D" joinstyle="miter"/>
                <v:imagedata o:title=""/>
                <o:lock v:ext="edit" aspectratio="f"/>
                <v:textbox>
                  <w:txbxContent>
                    <w:p w14:paraId="53724899">
                      <w:pPr>
                        <w:pStyle w:val="92"/>
                        <w:adjustRightInd w:val="0"/>
                      </w:pPr>
                      <w:r>
                        <w:drawing>
                          <wp:inline distT="0" distB="0" distL="0" distR="0">
                            <wp:extent cx="722630" cy="722630"/>
                            <wp:effectExtent l="0" t="0" r="1270" b="127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81">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6891133E">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330B390B">
                      <w:pPr>
                        <w:pStyle w:val="92"/>
                        <w:adjustRightInd w:val="0"/>
                      </w:pPr>
                    </w:p>
                  </w:txbxContent>
                </v:textbox>
                <w10:wrap type="square"/>
              </v:shape>
            </w:pict>
          </mc:Fallback>
        </mc:AlternateContent>
      </w:r>
      <w:r>
        <w:rPr>
          <w:rFonts w:ascii="Times New Roman" w:hAnsi="Times New Roman" w:eastAsia="仿宋" w:cs="Times New Roman"/>
          <w:sz w:val="22"/>
        </w:rPr>
        <w:t xml:space="preserve">By 2027, significant progress will be achieved in establishing Changsha as a National Bioeconomy Pilot Zone, nurturing around 10 key bioeconomy enterprises with an annual output of 10 billion yuan. The </w:t>
      </w:r>
      <w:r>
        <w:rPr>
          <w:rFonts w:ascii="Times New Roman" w:hAnsi="Times New Roman" w:eastAsia="仿宋" w:cs="Times New Roman"/>
          <w:sz w:val="22"/>
          <w:szCs w:val="24"/>
        </w:rPr>
        <w:t>biomanufacturing</w:t>
      </w:r>
      <w:r>
        <w:rPr>
          <w:rFonts w:ascii="Times New Roman" w:hAnsi="Times New Roman" w:eastAsia="仿宋" w:cs="Times New Roman"/>
          <w:sz w:val="22"/>
        </w:rPr>
        <w:t xml:space="preserve"> industry will generate an output of 80 billion yuan, while the bio-service industry is expected to reach 200 billion yuan. Moreover, the “bio+” sectors (bio + materials, bio + energy, bio+ environmental protection) will grow to 50 billion yuan.</w:t>
      </w:r>
    </w:p>
    <w:p w14:paraId="1F994E57">
      <w:pPr>
        <w:snapToGrid w:val="0"/>
        <w:spacing w:line="360" w:lineRule="exact"/>
        <w:ind w:firstLine="442" w:firstLineChars="200"/>
        <w:outlineLvl w:val="2"/>
        <w:rPr>
          <w:rFonts w:ascii="Times New Roman" w:hAnsi="Times New Roman" w:eastAsia="黑体" w:cs="Times New Roman"/>
          <w:b/>
          <w:sz w:val="22"/>
        </w:rPr>
      </w:pPr>
      <w:bookmarkStart w:id="215" w:name="_Toc163910368"/>
      <w:r>
        <w:rPr>
          <w:rFonts w:ascii="Times New Roman" w:hAnsi="Times New Roman" w:eastAsia="黑体" w:cs="Times New Roman"/>
          <w:b/>
          <w:sz w:val="22"/>
        </w:rPr>
        <w:t>(3) Policy Support</w:t>
      </w:r>
      <w:bookmarkEnd w:id="215"/>
    </w:p>
    <w:p w14:paraId="6290FA34">
      <w:pPr>
        <w:pStyle w:val="85"/>
        <w:numPr>
          <w:ilvl w:val="0"/>
          <w:numId w:val="3"/>
        </w:numPr>
        <w:ind w:left="426" w:hanging="142" w:firstLineChars="0"/>
        <w:rPr>
          <w:i/>
          <w:iCs/>
        </w:rPr>
      </w:pPr>
      <w:r>
        <w:rPr>
          <w:i/>
          <w:iCs/>
        </w:rPr>
        <w:t>Opinions of the General Office of the Hunan Provincial People’s Government on Promoting the Innovative Development of the Biomedical Industry</w:t>
      </w:r>
    </w:p>
    <w:p w14:paraId="7798391D">
      <w:pPr>
        <w:rPr>
          <w:i/>
          <w:iCs/>
        </w:rPr>
      </w:pPr>
      <w:r>
        <w:rPr>
          <w:iCs/>
        </w:rPr>
        <mc:AlternateContent>
          <mc:Choice Requires="wps">
            <w:drawing>
              <wp:anchor distT="0" distB="0" distL="114300" distR="114300" simplePos="0" relativeHeight="251676672" behindDoc="0" locked="0" layoutInCell="1" allowOverlap="1">
                <wp:simplePos x="0" y="0"/>
                <wp:positionH relativeFrom="column">
                  <wp:posOffset>167005</wp:posOffset>
                </wp:positionH>
                <wp:positionV relativeFrom="paragraph">
                  <wp:posOffset>107950</wp:posOffset>
                </wp:positionV>
                <wp:extent cx="3821430" cy="2190115"/>
                <wp:effectExtent l="6350" t="104775" r="12700" b="6350"/>
                <wp:wrapNone/>
                <wp:docPr id="38" name="矩形标注 47"/>
                <wp:cNvGraphicFramePr/>
                <a:graphic xmlns:a="http://schemas.openxmlformats.org/drawingml/2006/main">
                  <a:graphicData uri="http://schemas.microsoft.com/office/word/2010/wordprocessingShape">
                    <wps:wsp>
                      <wps:cNvSpPr/>
                      <wps:spPr>
                        <a:xfrm>
                          <a:off x="0" y="0"/>
                          <a:ext cx="3821430" cy="2190115"/>
                        </a:xfrm>
                        <a:prstGeom prst="wedgeRectCallout">
                          <a:avLst>
                            <a:gd name="adj1" fmla="val -41856"/>
                            <a:gd name="adj2" fmla="val -54315"/>
                          </a:avLst>
                        </a:prstGeom>
                        <a:solidFill>
                          <a:srgbClr val="E2EFD9"/>
                        </a:solidFill>
                        <a:ln w="12700" cap="flat" cmpd="sng">
                          <a:solidFill>
                            <a:srgbClr val="A8D08D"/>
                          </a:solidFill>
                          <a:prstDash val="solid"/>
                          <a:miter/>
                          <a:headEnd type="none" w="med" len="med"/>
                          <a:tailEnd type="none" w="med" len="med"/>
                        </a:ln>
                      </wps:spPr>
                      <wps:txbx>
                        <w:txbxContent>
                          <w:p w14:paraId="31FC28FE">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5006A492">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R&amp;D innovation support. </w:t>
                            </w:r>
                            <w:r>
                              <w:rPr>
                                <w:rFonts w:ascii="Times New Roman" w:hAnsi="Times New Roman" w:cs="Times New Roman"/>
                                <w:color w:val="3F3F3F" w:themeColor="text1" w:themeTint="BF"/>
                                <w:sz w:val="18"/>
                                <w:szCs w:val="18"/>
                              </w:rPr>
                              <w:t>Supporting the development of biomedical innovation platforms, public service platforms, and basic application platforms, and accelerating the development of the R&amp;D support system for the biomedical industry; supporting the R&amp;D and innovation of pharmaceuticals, medical devices, and cosmetics, and providing a lump sum subsidy according to the varieties for those who have obtained the approved number and realized production in Hunan. Continuing to support the development of the consistent evaluation of the quality and efficacy of generic drugs.</w:t>
                            </w:r>
                          </w:p>
                          <w:p w14:paraId="256F5EA3">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Industry development support. </w:t>
                            </w:r>
                            <w:r>
                              <w:rPr>
                                <w:rFonts w:ascii="Times New Roman" w:hAnsi="Times New Roman" w:cs="Times New Roman"/>
                                <w:color w:val="3F3F3F" w:themeColor="text1" w:themeTint="BF"/>
                                <w:sz w:val="18"/>
                                <w:szCs w:val="18"/>
                              </w:rPr>
                              <w:t>Supporting the development of headquarters economy in the field of biomedicine, supporting the introduction of major projects, and attracting biomedical enterprises to transfer in groups. Supporting the creation of leading enterprises and leading products.</w:t>
                            </w:r>
                          </w:p>
                          <w:p w14:paraId="35D80945">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Clinical application support.</w:t>
                            </w:r>
                            <w:r>
                              <w:rPr>
                                <w:rFonts w:ascii="Times New Roman" w:hAnsi="Times New Roman" w:cs="Times New Roman"/>
                                <w:color w:val="3F3F3F" w:themeColor="text1" w:themeTint="BF"/>
                                <w:sz w:val="18"/>
                                <w:szCs w:val="18"/>
                              </w:rPr>
                              <w:t xml:space="preserve"> Optimizing the admission process of innovative pharmaceutical products and beefing up the support of the medical insurance system for the application of innovative products.</w:t>
                            </w:r>
                          </w:p>
                        </w:txbxContent>
                      </wps:txbx>
                      <wps:bodyPr anchor="ctr" anchorCtr="0" upright="1"/>
                    </wps:wsp>
                  </a:graphicData>
                </a:graphic>
              </wp:anchor>
            </w:drawing>
          </mc:Choice>
          <mc:Fallback>
            <w:pict>
              <v:shape id="矩形标注 47" o:spid="_x0000_s1026" o:spt="61" type="#_x0000_t61" style="position:absolute;left:0pt;margin-left:13.15pt;margin-top:8.5pt;height:172.45pt;width:300.9pt;z-index:251676672;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" adj="1759,-932">
                <v:fill on="t" focussize="0,0"/>
                <v:stroke weight="1pt" color="#A8D08D" joinstyle="miter"/>
                <v:imagedata o:title=""/>
                <o:lock v:ext="edit" aspectratio="f"/>
                <v:textbox>
                  <w:txbxContent>
                    <w:p w14:paraId="31FC28FE">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5006A492">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R&amp;D innovation support. </w:t>
                      </w:r>
                      <w:r>
                        <w:rPr>
                          <w:rFonts w:ascii="Times New Roman" w:hAnsi="Times New Roman" w:cs="Times New Roman"/>
                          <w:color w:val="3F3F3F" w:themeColor="text1" w:themeTint="BF"/>
                          <w:sz w:val="18"/>
                          <w:szCs w:val="18"/>
                        </w:rPr>
                        <w:t>Supporting the development of biomedical innovation platforms, public service platforms, and basic application platforms, and accelerating the development of the R&amp;D support system for the biomedical industry; supporting the R&amp;D and innovation of pharmaceuticals, medical devices, and cosmetics, and providing a lump sum subsidy according to the varieties for those who have obtained the approved number and realized production in Hunan. Continuing to support the development of the consistent evaluation of the quality and efficacy of generic drugs.</w:t>
                      </w:r>
                    </w:p>
                    <w:p w14:paraId="256F5EA3">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Industry development support. </w:t>
                      </w:r>
                      <w:r>
                        <w:rPr>
                          <w:rFonts w:ascii="Times New Roman" w:hAnsi="Times New Roman" w:cs="Times New Roman"/>
                          <w:color w:val="3F3F3F" w:themeColor="text1" w:themeTint="BF"/>
                          <w:sz w:val="18"/>
                          <w:szCs w:val="18"/>
                        </w:rPr>
                        <w:t>Supporting the development of headquarters economy in the field of biomedicine, supporting the introduction of major projects, and attracting biomedical enterprises to transfer in groups. Supporting the creation of leading enterprises and leading products.</w:t>
                      </w:r>
                    </w:p>
                    <w:p w14:paraId="35D80945">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Clinical application support.</w:t>
                      </w:r>
                      <w:r>
                        <w:rPr>
                          <w:rFonts w:ascii="Times New Roman" w:hAnsi="Times New Roman" w:cs="Times New Roman"/>
                          <w:color w:val="3F3F3F" w:themeColor="text1" w:themeTint="BF"/>
                          <w:sz w:val="18"/>
                          <w:szCs w:val="18"/>
                        </w:rPr>
                        <w:t xml:space="preserve"> Optimizing the admission process of innovative pharmaceutical products and beefing up the support of the medical insurance system for the application of innovative products.</w:t>
                      </w:r>
                    </w:p>
                  </w:txbxContent>
                </v:textbox>
              </v:shape>
            </w:pict>
          </mc:Fallback>
        </mc:AlternateContent>
      </w:r>
    </w:p>
    <w:p w14:paraId="1CE1AA12">
      <w:pPr>
        <w:rPr>
          <w:i/>
          <w:iCs/>
        </w:rPr>
      </w:pPr>
    </w:p>
    <w:p w14:paraId="39B2B07E">
      <w:pPr>
        <w:rPr>
          <w:i/>
          <w:iCs/>
        </w:rPr>
      </w:pPr>
    </w:p>
    <w:p w14:paraId="44A7F025">
      <w:pPr>
        <w:rPr>
          <w:i/>
          <w:iCs/>
        </w:rPr>
      </w:pPr>
    </w:p>
    <w:p w14:paraId="7BC4D25B">
      <w:pPr>
        <w:rPr>
          <w:i/>
          <w:iCs/>
        </w:rPr>
      </w:pPr>
    </w:p>
    <w:p w14:paraId="1FA99A6F">
      <w:pPr>
        <w:rPr>
          <w:i/>
          <w:iCs/>
        </w:rPr>
      </w:pPr>
    </w:p>
    <w:p w14:paraId="5FD7D9B4">
      <w:pPr>
        <w:rPr>
          <w:i/>
          <w:iCs/>
        </w:rPr>
      </w:pPr>
    </w:p>
    <w:p w14:paraId="46B08CEA">
      <w:pPr>
        <w:rPr>
          <w:i/>
          <w:iCs/>
        </w:rPr>
      </w:pPr>
    </w:p>
    <w:p w14:paraId="63ADA3B3">
      <w:pPr>
        <w:rPr>
          <w:i/>
          <w:iCs/>
        </w:rPr>
      </w:pPr>
    </w:p>
    <w:p w14:paraId="59DE7422">
      <w:pPr>
        <w:rPr>
          <w:i/>
          <w:iCs/>
        </w:rPr>
      </w:pPr>
    </w:p>
    <w:p w14:paraId="2629DA0F">
      <w:pPr>
        <w:pStyle w:val="85"/>
        <w:numPr>
          <w:ilvl w:val="0"/>
          <w:numId w:val="3"/>
        </w:numPr>
        <w:ind w:left="426" w:hanging="142" w:firstLineChars="0"/>
        <w:rPr>
          <w:i/>
          <w:iCs/>
        </w:rPr>
      </w:pPr>
      <w:r>
        <w:rPr>
          <w:i/>
          <w:iCs/>
        </w:rPr>
        <w:t>14th Five-Year Plan for the Development of Strategic Emerging Industries in Hunan Province</w:t>
      </w:r>
    </w:p>
    <w:p w14:paraId="6E845CBD">
      <w:pPr>
        <w:pStyle w:val="85"/>
        <w:numPr>
          <w:ilvl w:val="0"/>
          <w:numId w:val="3"/>
        </w:numPr>
        <w:ind w:left="426" w:hanging="142" w:firstLineChars="0"/>
        <w:rPr>
          <w:i/>
          <w:iCs/>
        </w:rPr>
      </w:pPr>
      <w:r>
        <w:rPr>
          <w:i/>
          <w:iCs/>
        </w:rPr>
        <w:t>Three-Year Action Plan for the Development of Bioeconomy in Changsha City (2023-2025)</w:t>
      </w:r>
      <w:r>
        <w:rPr>
          <w:rFonts w:cs="仿宋_GB2312"/>
        </w:rPr>
        <w:t xml:space="preserve"> </w:t>
      </w:r>
    </w:p>
    <w:p w14:paraId="02CF97BB">
      <w:pPr>
        <w:adjustRightInd w:val="0"/>
        <w:snapToGrid w:val="0"/>
        <w:spacing w:line="360" w:lineRule="exact"/>
        <w:jc w:val="center"/>
        <w:rPr>
          <w:rFonts w:ascii="Times New Roman" w:hAnsi="Times New Roman" w:eastAsia="仿宋" w:cs="Times New Roman"/>
          <w:sz w:val="18"/>
          <w:szCs w:val="18"/>
        </w:rPr>
      </w:pPr>
      <w:r>
        <w:rPr>
          <w:rFonts w:ascii="Times New Roman" w:hAnsi="Times New Roman" w:eastAsia="黑体" w:cs="Times New Roman"/>
          <w:sz w:val="18"/>
          <w:szCs w:val="18"/>
        </w:rPr>
        <w:t xml:space="preserve">Funds </w:t>
      </w:r>
      <w:r>
        <w:rPr>
          <w:rFonts w:ascii="Times New Roman" w:hAnsi="Times New Roman" w:eastAsia="仿宋" w:cs="Times New Roman"/>
          <w:sz w:val="18"/>
          <w:szCs w:val="18"/>
        </w:rPr>
        <w:t>supporting</w:t>
      </w:r>
      <w:r>
        <w:rPr>
          <w:rFonts w:ascii="Times New Roman" w:hAnsi="Times New Roman" w:eastAsia="黑体" w:cs="Times New Roman"/>
          <w:sz w:val="18"/>
          <w:szCs w:val="18"/>
        </w:rPr>
        <w:t xml:space="preserve"> life engineering industry</w:t>
      </w:r>
    </w:p>
    <w:tbl>
      <w:tblPr>
        <w:tblStyle w:val="136"/>
        <w:tblW w:w="5000" w:type="pct"/>
        <w:tblInd w:w="0" w:type="dxa"/>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Layout w:type="autofit"/>
        <w:tblCellMar>
          <w:top w:w="0" w:type="dxa"/>
          <w:left w:w="108" w:type="dxa"/>
          <w:bottom w:w="0" w:type="dxa"/>
          <w:right w:w="108" w:type="dxa"/>
        </w:tblCellMar>
      </w:tblPr>
      <w:tblGrid>
        <w:gridCol w:w="414"/>
        <w:gridCol w:w="1309"/>
        <w:gridCol w:w="1992"/>
        <w:gridCol w:w="545"/>
        <w:gridCol w:w="882"/>
        <w:gridCol w:w="1305"/>
      </w:tblGrid>
      <w:tr w14:paraId="7EE0698A">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313" w:hRule="atLeast"/>
        </w:trPr>
        <w:tc>
          <w:tcPr>
            <w:tcW w:w="321" w:type="pct"/>
            <w:vAlign w:val="center"/>
          </w:tcPr>
          <w:p w14:paraId="2362B880">
            <w:pPr>
              <w:widowControl/>
              <w:snapToGrid w:val="0"/>
              <w:ind w:left="-63" w:leftChars="-30" w:right="-63" w:rightChars="-30"/>
              <w:jc w:val="center"/>
              <w:rPr>
                <w:rFonts w:ascii="Times New Roman" w:hAnsi="Times New Roman" w:eastAsia="楷体" w:cs="Times New Roman"/>
                <w:b w:val="0"/>
                <w:bCs w:val="0"/>
                <w:kern w:val="0"/>
                <w:sz w:val="18"/>
                <w:szCs w:val="18"/>
              </w:rPr>
            </w:pPr>
            <w:r>
              <w:rPr>
                <w:rFonts w:ascii="Times New Roman" w:hAnsi="Times New Roman" w:eastAsia="仿宋" w:cs="Times New Roman"/>
                <w:b/>
                <w:bCs/>
                <w:kern w:val="0"/>
                <w:sz w:val="18"/>
                <w:szCs w:val="18"/>
              </w:rPr>
              <w:t>No.</w:t>
            </w:r>
          </w:p>
        </w:tc>
        <w:tc>
          <w:tcPr>
            <w:tcW w:w="1015" w:type="pct"/>
            <w:vAlign w:val="center"/>
          </w:tcPr>
          <w:p w14:paraId="4AB29C8D">
            <w:pPr>
              <w:widowControl/>
              <w:snapToGrid w:val="0"/>
              <w:ind w:left="-63" w:leftChars="-30" w:right="-63" w:rightChars="-3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Fund</w:t>
            </w:r>
          </w:p>
        </w:tc>
        <w:tc>
          <w:tcPr>
            <w:tcW w:w="1545" w:type="pct"/>
            <w:vAlign w:val="center"/>
          </w:tcPr>
          <w:p w14:paraId="13A64C35">
            <w:pPr>
              <w:widowControl/>
              <w:snapToGrid w:val="0"/>
              <w:ind w:left="-63" w:leftChars="-30" w:right="-63" w:rightChars="-3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Sector</w:t>
            </w:r>
          </w:p>
        </w:tc>
        <w:tc>
          <w:tcPr>
            <w:tcW w:w="423" w:type="pct"/>
            <w:vAlign w:val="center"/>
          </w:tcPr>
          <w:p w14:paraId="328D1A15">
            <w:pPr>
              <w:widowControl/>
              <w:snapToGrid w:val="0"/>
              <w:ind w:left="-63" w:leftChars="-30" w:right="-63" w:rightChars="-3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Est. Time</w:t>
            </w:r>
          </w:p>
        </w:tc>
        <w:tc>
          <w:tcPr>
            <w:tcW w:w="684" w:type="pct"/>
            <w:vAlign w:val="center"/>
          </w:tcPr>
          <w:p w14:paraId="57656C14">
            <w:pPr>
              <w:widowControl/>
              <w:snapToGrid w:val="0"/>
              <w:ind w:left="-63" w:leftChars="-30" w:right="-63" w:rightChars="-3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Scale (RMB)</w:t>
            </w:r>
          </w:p>
        </w:tc>
        <w:tc>
          <w:tcPr>
            <w:tcW w:w="1012" w:type="pct"/>
            <w:vAlign w:val="center"/>
          </w:tcPr>
          <w:p w14:paraId="0754FC90">
            <w:pPr>
              <w:widowControl/>
              <w:snapToGrid w:val="0"/>
              <w:ind w:left="-63" w:leftChars="-30" w:right="-63" w:rightChars="-3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Remarks</w:t>
            </w:r>
          </w:p>
        </w:tc>
      </w:tr>
      <w:tr w14:paraId="3883804E">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1028" w:hRule="atLeast"/>
        </w:trPr>
        <w:tc>
          <w:tcPr>
            <w:tcW w:w="321" w:type="pct"/>
            <w:shd w:val="clear" w:color="auto" w:fill="EAF1DD"/>
            <w:vAlign w:val="center"/>
          </w:tcPr>
          <w:p w14:paraId="4D5C39D5">
            <w:pPr>
              <w:widowControl/>
              <w:snapToGrid w:val="0"/>
              <w:ind w:left="-63" w:leftChars="-30" w:right="-63" w:rightChars="-3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1</w:t>
            </w:r>
          </w:p>
        </w:tc>
        <w:tc>
          <w:tcPr>
            <w:tcW w:w="1015" w:type="pct"/>
            <w:shd w:val="clear" w:color="auto" w:fill="EAF1DD"/>
            <w:vAlign w:val="center"/>
          </w:tcPr>
          <w:p w14:paraId="34C663D0">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Hunan Pharmaceutical Development Investment Fund</w:t>
            </w:r>
          </w:p>
        </w:tc>
        <w:tc>
          <w:tcPr>
            <w:tcW w:w="1545" w:type="pct"/>
            <w:shd w:val="clear" w:color="auto" w:fill="EAF1DD"/>
            <w:vAlign w:val="center"/>
          </w:tcPr>
          <w:p w14:paraId="7CAD80AF">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Pharmaceuticals, medical devices, health and elderly care, future-oriented industries such as life engineering and AI application in the health field.</w:t>
            </w:r>
          </w:p>
        </w:tc>
        <w:tc>
          <w:tcPr>
            <w:tcW w:w="423" w:type="pct"/>
            <w:shd w:val="clear" w:color="auto" w:fill="EAF1DD"/>
            <w:vAlign w:val="center"/>
          </w:tcPr>
          <w:p w14:paraId="6EAF83E8">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2023</w:t>
            </w:r>
          </w:p>
        </w:tc>
        <w:tc>
          <w:tcPr>
            <w:tcW w:w="684" w:type="pct"/>
            <w:shd w:val="clear" w:color="auto" w:fill="EAF1DD"/>
            <w:vAlign w:val="center"/>
          </w:tcPr>
          <w:p w14:paraId="785E99CC">
            <w:pPr>
              <w:snapToGrid w:val="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2 billion;</w:t>
            </w:r>
          </w:p>
          <w:p w14:paraId="041897B8">
            <w:pPr>
              <w:widowControl/>
              <w:snapToGrid w:val="0"/>
              <w:ind w:left="-42" w:leftChars="-20" w:right="-42" w:rightChars="-2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phase Ⅰ: 1 billion</w:t>
            </w:r>
          </w:p>
        </w:tc>
        <w:tc>
          <w:tcPr>
            <w:tcW w:w="1012" w:type="pct"/>
            <w:shd w:val="clear" w:color="auto" w:fill="EAF1DD"/>
            <w:vAlign w:val="center"/>
          </w:tcPr>
          <w:p w14:paraId="1ECDAE0E">
            <w:pPr>
              <w:widowControl/>
              <w:snapToGrid w:val="0"/>
              <w:ind w:left="-42" w:leftChars="-20" w:right="-42" w:rightChars="-2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Managed by Hunan Pharmaceutical Development Private Equity Fund Management</w:t>
            </w:r>
          </w:p>
        </w:tc>
      </w:tr>
      <w:tr w14:paraId="122B519D">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433" w:hRule="atLeast"/>
        </w:trPr>
        <w:tc>
          <w:tcPr>
            <w:tcW w:w="321" w:type="pct"/>
            <w:vAlign w:val="center"/>
          </w:tcPr>
          <w:p w14:paraId="52AB46F5">
            <w:pPr>
              <w:widowControl/>
              <w:snapToGrid w:val="0"/>
              <w:ind w:left="-63" w:leftChars="-30" w:right="-63" w:rightChars="-3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2</w:t>
            </w:r>
          </w:p>
        </w:tc>
        <w:tc>
          <w:tcPr>
            <w:tcW w:w="1015" w:type="pct"/>
            <w:vAlign w:val="center"/>
          </w:tcPr>
          <w:p w14:paraId="4B329C15">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Changsha Jingji Biomedicine Industrial Investment Fund</w:t>
            </w:r>
          </w:p>
        </w:tc>
        <w:tc>
          <w:tcPr>
            <w:tcW w:w="1545" w:type="pct"/>
            <w:vAlign w:val="center"/>
          </w:tcPr>
          <w:p w14:paraId="545BC881">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Related industries in the upstream and downstream of the bio</w:t>
            </w:r>
            <w:r>
              <w:rPr>
                <w:rFonts w:ascii="Times New Roman" w:hAnsi="Times New Roman" w:eastAsia="仿宋" w:cs="Times New Roman"/>
                <w:kern w:val="0"/>
                <w:sz w:val="18"/>
                <w:szCs w:val="18"/>
              </w:rPr>
              <w:t>medical</w:t>
            </w:r>
            <w:r>
              <w:rPr>
                <w:rFonts w:ascii="Times New Roman" w:hAnsi="Times New Roman" w:eastAsia="楷体" w:cs="Times New Roman"/>
                <w:kern w:val="0"/>
                <w:sz w:val="18"/>
                <w:szCs w:val="18"/>
              </w:rPr>
              <w:t xml:space="preserve"> and life sciences industry chain.</w:t>
            </w:r>
          </w:p>
        </w:tc>
        <w:tc>
          <w:tcPr>
            <w:tcW w:w="423" w:type="pct"/>
            <w:vAlign w:val="center"/>
          </w:tcPr>
          <w:p w14:paraId="42D886F8">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2023</w:t>
            </w:r>
          </w:p>
        </w:tc>
        <w:tc>
          <w:tcPr>
            <w:tcW w:w="684" w:type="pct"/>
            <w:vAlign w:val="center"/>
          </w:tcPr>
          <w:p w14:paraId="01965339">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1 billion</w:t>
            </w:r>
          </w:p>
        </w:tc>
        <w:tc>
          <w:tcPr>
            <w:tcW w:w="1012" w:type="pct"/>
            <w:vAlign w:val="center"/>
          </w:tcPr>
          <w:p w14:paraId="2AC9FEDE">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Sub-Fund of Changsha Industrial Investment Fund</w:t>
            </w:r>
          </w:p>
        </w:tc>
      </w:tr>
      <w:tr w14:paraId="2B218756">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58" w:hRule="atLeast"/>
        </w:trPr>
        <w:tc>
          <w:tcPr>
            <w:tcW w:w="321" w:type="pct"/>
            <w:shd w:val="clear" w:color="auto" w:fill="EAF1DD"/>
            <w:vAlign w:val="center"/>
          </w:tcPr>
          <w:p w14:paraId="091F6401">
            <w:pPr>
              <w:widowControl/>
              <w:snapToGrid w:val="0"/>
              <w:ind w:left="-63" w:leftChars="-30" w:right="-63" w:rightChars="-3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3</w:t>
            </w:r>
          </w:p>
        </w:tc>
        <w:tc>
          <w:tcPr>
            <w:tcW w:w="1015" w:type="pct"/>
            <w:shd w:val="clear" w:color="auto" w:fill="EAF1DD"/>
            <w:vAlign w:val="center"/>
          </w:tcPr>
          <w:p w14:paraId="77EE6ADB">
            <w:pPr>
              <w:widowControl/>
              <w:snapToGrid w:val="0"/>
              <w:ind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Hunan Xiangjiang Shengxiang Biological Industry Fund</w:t>
            </w:r>
          </w:p>
        </w:tc>
        <w:tc>
          <w:tcPr>
            <w:tcW w:w="1545" w:type="pct"/>
            <w:shd w:val="clear" w:color="auto" w:fill="EAF1DD"/>
            <w:vAlign w:val="center"/>
          </w:tcPr>
          <w:p w14:paraId="778C5F72">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Advantageous enterprises with cutting-edge technologies in the field of in vitro diagnosis as well as other medical fields.</w:t>
            </w:r>
          </w:p>
        </w:tc>
        <w:tc>
          <w:tcPr>
            <w:tcW w:w="423" w:type="pct"/>
            <w:shd w:val="clear" w:color="auto" w:fill="EAF1DD"/>
            <w:vAlign w:val="center"/>
          </w:tcPr>
          <w:p w14:paraId="1DB5E284">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2023</w:t>
            </w:r>
          </w:p>
        </w:tc>
        <w:tc>
          <w:tcPr>
            <w:tcW w:w="684" w:type="pct"/>
            <w:shd w:val="clear" w:color="auto" w:fill="EAF1DD"/>
            <w:vAlign w:val="center"/>
          </w:tcPr>
          <w:p w14:paraId="2D156C8D">
            <w:pPr>
              <w:widowControl/>
              <w:snapToGrid w:val="0"/>
              <w:ind w:right="-63" w:rightChars="-3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400 million</w:t>
            </w:r>
          </w:p>
        </w:tc>
        <w:tc>
          <w:tcPr>
            <w:tcW w:w="1012" w:type="pct"/>
            <w:shd w:val="clear" w:color="auto" w:fill="EAF1DD"/>
            <w:vAlign w:val="center"/>
          </w:tcPr>
          <w:p w14:paraId="2FD49E36">
            <w:pPr>
              <w:widowControl/>
              <w:snapToGrid w:val="0"/>
              <w:ind w:left="-63" w:leftChars="-30" w:right="-63" w:rightChars="-3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Jointly established by Sansure and Xiangjiang State Investment</w:t>
            </w:r>
          </w:p>
        </w:tc>
      </w:tr>
    </w:tbl>
    <w:p w14:paraId="355E0CAD">
      <w:pPr>
        <w:keepNext/>
        <w:snapToGrid w:val="0"/>
        <w:spacing w:line="360" w:lineRule="exact"/>
        <w:rPr>
          <w:rFonts w:ascii="Times New Roman" w:hAnsi="Times New Roman" w:eastAsia="黑体" w:cs="Times New Roman"/>
          <w:b/>
          <w:sz w:val="20"/>
          <w:szCs w:val="20"/>
        </w:rPr>
      </w:pPr>
    </w:p>
    <w:p w14:paraId="077968BB">
      <w:pPr>
        <w:snapToGrid w:val="0"/>
        <w:spacing w:line="360" w:lineRule="exact"/>
        <w:ind w:firstLine="442" w:firstLineChars="200"/>
        <w:outlineLvl w:val="2"/>
        <w:rPr>
          <w:rFonts w:ascii="Times New Roman" w:hAnsi="Times New Roman" w:eastAsia="黑体" w:cs="Times New Roman"/>
          <w:b/>
          <w:sz w:val="22"/>
        </w:rPr>
      </w:pPr>
      <w:bookmarkStart w:id="216" w:name="_Toc163910369"/>
      <w:r>
        <w:rPr>
          <w:rFonts w:ascii="Times New Roman" w:hAnsi="Times New Roman" w:eastAsia="黑体" w:cs="Times New Roman"/>
          <w:b/>
          <w:sz w:val="22"/>
        </w:rPr>
        <w:t xml:space="preserve">(4) Investment </w:t>
      </w:r>
      <w:r>
        <w:rPr>
          <w:rFonts w:ascii="Times New Roman" w:hAnsi="Times New Roman" w:eastAsia="黑体" w:cs="Times New Roman"/>
          <w:b/>
          <w:sz w:val="22"/>
          <w:szCs w:val="24"/>
        </w:rPr>
        <w:t>O</w:t>
      </w:r>
      <w:r>
        <w:rPr>
          <w:rFonts w:hint="eastAsia" w:ascii="Times New Roman" w:hAnsi="Times New Roman" w:eastAsia="黑体" w:cs="Times New Roman"/>
          <w:b/>
          <w:sz w:val="22"/>
          <w:szCs w:val="24"/>
        </w:rPr>
        <w:t>rientation</w:t>
      </w:r>
      <w:r>
        <w:rPr>
          <w:rFonts w:ascii="Times New Roman" w:hAnsi="Times New Roman" w:eastAsia="黑体" w:cs="Times New Roman"/>
          <w:b/>
          <w:sz w:val="22"/>
        </w:rPr>
        <w:t xml:space="preserve"> and Industrial Layout</w:t>
      </w:r>
      <w:bookmarkEnd w:id="216"/>
    </w:p>
    <w:p w14:paraId="22D640D3">
      <w:pPr>
        <w:snapToGrid w:val="0"/>
        <w:spacing w:line="360" w:lineRule="exact"/>
        <w:ind w:firstLine="442" w:firstLineChars="200"/>
        <w:rPr>
          <w:rFonts w:ascii="Times New Roman" w:hAnsi="Times New Roman" w:eastAsia="仿宋" w:cs="Times New Roman"/>
          <w:sz w:val="22"/>
          <w:szCs w:val="24"/>
        </w:rPr>
      </w:pPr>
      <w:r>
        <w:rPr>
          <w:rFonts w:ascii="Times New Roman" w:hAnsi="Times New Roman" w:eastAsia="仿宋" w:cs="Times New Roman"/>
          <w:b/>
          <w:bCs/>
          <w:sz w:val="22"/>
          <w:szCs w:val="24"/>
        </w:rPr>
        <w:t>Biotechnology and its application.</w:t>
      </w:r>
      <w:r>
        <w:rPr>
          <w:rFonts w:ascii="Times New Roman" w:hAnsi="Times New Roman" w:eastAsia="仿宋" w:cs="Times New Roman"/>
          <w:sz w:val="22"/>
          <w:szCs w:val="24"/>
        </w:rPr>
        <w:t xml:space="preserve"> Based on Xiangjiang New Area, Liuyang ETDZ, Jinshi HTZ and other bioindustry clusters, we focus on core underlying technologies such as systems biology and synthetic biology, and we aim to attract leading enterprises in the field of cutting-edge technologies such as innovation and iteration of </w:t>
      </w:r>
      <w:r>
        <w:rPr>
          <w:rFonts w:ascii="Times New Roman" w:hAnsi="Times New Roman" w:eastAsia="仿宋" w:cs="Times New Roman"/>
          <w:spacing w:val="4"/>
          <w:sz w:val="22"/>
          <w:szCs w:val="24"/>
        </w:rPr>
        <w:t xml:space="preserve">industrial strains, biosynthesis of chemical APIs, fermentation and </w:t>
      </w:r>
    </w:p>
    <w:p w14:paraId="16B28012">
      <w:pPr>
        <w:snapToGrid w:val="0"/>
        <w:rPr>
          <w:rFonts w:ascii="Times New Roman" w:hAnsi="Times New Roman" w:eastAsia="仿宋" w:cs="Times New Roman"/>
          <w:sz w:val="22"/>
          <w:szCs w:val="24"/>
        </w:rPr>
      </w:pPr>
      <w:r>
        <w:rPr>
          <w:rFonts w:hint="eastAsia"/>
        </w:rPr>
        <w:drawing>
          <wp:inline distT="0" distB="0" distL="0" distR="0">
            <wp:extent cx="3956685" cy="2705735"/>
            <wp:effectExtent l="0" t="0" r="571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956685" cy="2705847"/>
                    </a:xfrm>
                    <a:prstGeom prst="rect">
                      <a:avLst/>
                    </a:prstGeom>
                    <a:noFill/>
                    <a:ln>
                      <a:noFill/>
                    </a:ln>
                  </pic:spPr>
                </pic:pic>
              </a:graphicData>
            </a:graphic>
          </wp:inline>
        </w:drawing>
      </w:r>
    </w:p>
    <w:p w14:paraId="1B413DB4">
      <w:pPr>
        <w:snapToGrid w:val="0"/>
        <w:spacing w:line="360" w:lineRule="exact"/>
        <w:rPr>
          <w:rFonts w:ascii="Times New Roman" w:hAnsi="Times New Roman" w:eastAsia="仿宋" w:cs="Times New Roman"/>
          <w:sz w:val="22"/>
          <w:szCs w:val="24"/>
        </w:rPr>
      </w:pPr>
      <w:r>
        <w:rPr>
          <w:rFonts w:ascii="Times New Roman" w:hAnsi="Times New Roman" w:eastAsia="仿宋" w:cs="Times New Roman"/>
          <w:sz w:val="22"/>
          <w:szCs w:val="24"/>
        </w:rPr>
        <w:t>manufacturing of natural plant products, and renewable chemical materials, as well as enterprises applying synthetic biotechnology in the fields of agriculture, chemical industry, pharmaceuticals and environmental protection.</w:t>
      </w:r>
    </w:p>
    <w:p w14:paraId="28B12688">
      <w:pPr>
        <w:snapToGrid w:val="0"/>
        <w:spacing w:line="360" w:lineRule="exact"/>
        <w:ind w:firstLine="442" w:firstLineChars="200"/>
        <w:rPr>
          <w:rFonts w:ascii="Times New Roman" w:hAnsi="Times New Roman" w:eastAsia="仿宋" w:cs="Times New Roman"/>
          <w:sz w:val="22"/>
          <w:szCs w:val="24"/>
        </w:rPr>
      </w:pPr>
      <w:r>
        <w:rPr>
          <w:rFonts w:ascii="Times New Roman" w:hAnsi="Times New Roman" w:eastAsia="仿宋" w:cs="Times New Roman"/>
          <w:b/>
          <w:bCs/>
          <w:sz w:val="22"/>
          <w:szCs w:val="24"/>
        </w:rPr>
        <w:t>Biomedicine.</w:t>
      </w:r>
      <w:r>
        <w:rPr>
          <w:rFonts w:ascii="Times New Roman" w:hAnsi="Times New Roman" w:eastAsia="仿宋" w:cs="Times New Roman"/>
          <w:sz w:val="22"/>
          <w:szCs w:val="24"/>
        </w:rPr>
        <w:t xml:space="preserve"> Based on Changsha, priority will be given to leading therapy companies in such fields as stem cells and regenerative medicine, gene editing, cellular immunotherapy, and novel biopharmaceutical companies specializing in the field of cellular drugs, gene drugs, antibody drugs, recombinant protein drugs, new vaccines and other new biopharmaceuticals. Based on Changsha, we aim to focus on cell and gene precision testing and treatment, building cell industry chain and gene industry chain with original independent intellectual property rights, and focus on attracting key enterprises in the field of future-oriented biological and fusion technologies such as neuromorphic photonic chips, artificial biological design, brain-computer interfaces, and precision medical treatment.</w:t>
      </w:r>
    </w:p>
    <w:p w14:paraId="416E9E6B">
      <w:pPr>
        <w:snapToGrid w:val="0"/>
        <w:spacing w:line="360" w:lineRule="exact"/>
        <w:rPr>
          <w:rFonts w:ascii="Times New Roman" w:hAnsi="Times New Roman" w:eastAsia="仿宋" w:cs="Times New Roman"/>
          <w:sz w:val="22"/>
          <w:szCs w:val="24"/>
        </w:rPr>
        <w:sectPr>
          <w:headerReference r:id="rId29" w:type="first"/>
          <w:footerReference r:id="rId31" w:type="first"/>
          <w:headerReference r:id="rId27" w:type="default"/>
          <w:headerReference r:id="rId28" w:type="even"/>
          <w:footerReference r:id="rId30" w:type="even"/>
          <w:pgSz w:w="8391" w:h="11906"/>
          <w:pgMar w:top="1440" w:right="1080" w:bottom="1440" w:left="1080" w:header="680" w:footer="992" w:gutter="0"/>
          <w:cols w:space="720" w:num="1"/>
          <w:docGrid w:type="lines" w:linePitch="381" w:charSpace="0"/>
        </w:sectPr>
      </w:pPr>
    </w:p>
    <w:p w14:paraId="4AB9F04C">
      <w:pPr>
        <w:keepNext/>
        <w:snapToGrid w:val="0"/>
        <w:spacing w:afterLines="50" w:line="360" w:lineRule="exact"/>
        <w:jc w:val="center"/>
        <w:outlineLvl w:val="1"/>
        <w:rPr>
          <w:rFonts w:ascii="Times New Roman" w:hAnsi="Times New Roman" w:eastAsia="仿宋" w:cs="Times New Roman"/>
          <w:b/>
          <w:bCs/>
          <w:sz w:val="22"/>
          <w:szCs w:val="24"/>
        </w:rPr>
      </w:pPr>
      <w:bookmarkStart w:id="217" w:name="_Toc163910370"/>
      <w:r>
        <w:rPr>
          <w:rFonts w:ascii="Times New Roman" w:hAnsi="Times New Roman" w:eastAsia="仿宋" w:cs="Times New Roman"/>
          <w:b/>
          <w:bCs/>
          <w:sz w:val="22"/>
          <w:szCs w:val="24"/>
        </w:rPr>
        <w:t>15. Quantum Technology</w:t>
      </w:r>
      <w:bookmarkEnd w:id="217"/>
    </w:p>
    <w:p w14:paraId="727F9D49">
      <w:pPr>
        <w:snapToGrid w:val="0"/>
        <w:spacing w:line="340" w:lineRule="exact"/>
        <w:ind w:firstLine="442" w:firstLineChars="200"/>
        <w:outlineLvl w:val="2"/>
        <w:rPr>
          <w:rFonts w:ascii="Times New Roman" w:hAnsi="Times New Roman" w:eastAsia="黑体" w:cs="Times New Roman"/>
          <w:b/>
          <w:sz w:val="22"/>
        </w:rPr>
      </w:pPr>
      <w:bookmarkStart w:id="218" w:name="_Toc163910371"/>
      <w:r>
        <w:rPr>
          <w:rFonts w:ascii="Times New Roman" w:hAnsi="Times New Roman" w:eastAsia="黑体" w:cs="Times New Roman"/>
          <w:b/>
          <w:sz w:val="22"/>
        </w:rPr>
        <w:t>(1) Development Status</w:t>
      </w:r>
      <w:bookmarkEnd w:id="218"/>
    </w:p>
    <w:p w14:paraId="1DD9C675">
      <w:pPr>
        <w:snapToGrid w:val="0"/>
        <w:spacing w:line="340" w:lineRule="exact"/>
        <w:ind w:firstLine="440" w:firstLineChars="200"/>
        <w:rPr>
          <w:rFonts w:ascii="Times New Roman" w:hAnsi="Times New Roman" w:eastAsia="仿宋" w:cs="Times New Roman"/>
          <w:bCs/>
          <w:sz w:val="22"/>
        </w:rPr>
      </w:pPr>
      <w:r>
        <w:rPr>
          <w:rFonts w:ascii="Times New Roman" w:hAnsi="Times New Roman" w:eastAsia="仿宋" w:cs="Times New Roman"/>
          <w:sz w:val="22"/>
          <w:szCs w:val="24"/>
        </w:rPr>
        <w:t xml:space="preserve">Hunan enjoys a first-mover advantage in quantum technology, with nine innovation platforms including the State Key Laboratories and National Engineering Research Centers. We have taken the lead in areas such as quantum precision measurement and quantum computing in China, with some achievements leading the world. </w:t>
      </w:r>
      <w:r>
        <w:rPr>
          <w:rFonts w:ascii="Times New Roman" w:hAnsi="Times New Roman" w:eastAsia="仿宋" w:cs="Times New Roman"/>
          <w:b/>
          <w:sz w:val="22"/>
          <w:szCs w:val="24"/>
        </w:rPr>
        <w:t>Hunan Normal University</w:t>
      </w:r>
      <w:r>
        <w:rPr>
          <w:rFonts w:ascii="Times New Roman" w:hAnsi="Times New Roman" w:eastAsia="仿宋" w:cs="Times New Roman"/>
          <w:sz w:val="22"/>
          <w:szCs w:val="24"/>
        </w:rPr>
        <w:t xml:space="preserve"> hosts one Key Laboratory accredited by the Ministry of Education (The Key Laboratory of Low-dimensional Quantum Structures and Quantum Control), achieving outstanding results in areas such as quantum coherence and its manipulation, quantum structure preparation and self-assembly, quantum transport, micro-nano system structure detection and imaging, as well as surface interface and photoelectric conversion materials.</w:t>
      </w:r>
    </w:p>
    <w:p w14:paraId="4C3E18D7">
      <w:pPr>
        <w:snapToGrid w:val="0"/>
        <w:rPr>
          <w:rFonts w:ascii="Times New Roman" w:hAnsi="Times New Roman" w:eastAsia="仿宋" w:cs="Times New Roman"/>
          <w:sz w:val="22"/>
          <w:szCs w:val="24"/>
        </w:rPr>
      </w:pPr>
      <w:r>
        <w:drawing>
          <wp:inline distT="0" distB="0" distL="0" distR="0">
            <wp:extent cx="3956685" cy="21971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3956685" cy="2197630"/>
                    </a:xfrm>
                    <a:prstGeom prst="rect">
                      <a:avLst/>
                    </a:prstGeom>
                    <a:noFill/>
                    <a:ln>
                      <a:noFill/>
                    </a:ln>
                  </pic:spPr>
                </pic:pic>
              </a:graphicData>
            </a:graphic>
          </wp:inline>
        </w:drawing>
      </w:r>
    </w:p>
    <w:p w14:paraId="4D9B53AA">
      <w:pPr>
        <w:snapToGrid w:val="0"/>
        <w:spacing w:line="360" w:lineRule="exact"/>
        <w:ind w:firstLine="360" w:firstLineChars="200"/>
        <w:jc w:val="center"/>
        <w:rPr>
          <w:rFonts w:ascii="Times New Roman" w:hAnsi="Times New Roman" w:eastAsia="仿宋" w:cs="Times New Roman"/>
          <w:sz w:val="18"/>
          <w:szCs w:val="16"/>
        </w:rPr>
      </w:pPr>
      <w:r>
        <w:rPr>
          <w:rFonts w:ascii="Times New Roman" w:hAnsi="Times New Roman" w:eastAsia="仿宋" w:cs="Times New Roman"/>
          <w:sz w:val="18"/>
          <w:szCs w:val="16"/>
        </w:rPr>
        <w:t>Leading enterprises in the quantum technology industry</w:t>
      </w:r>
    </w:p>
    <w:p w14:paraId="7E0FBA27">
      <w:pPr>
        <w:snapToGrid w:val="0"/>
        <w:spacing w:line="360" w:lineRule="exact"/>
        <w:ind w:firstLine="442" w:firstLineChars="200"/>
        <w:rPr>
          <w:rFonts w:ascii="Times New Roman" w:hAnsi="Times New Roman" w:eastAsia="仿宋" w:cs="Times New Roman"/>
          <w:sz w:val="22"/>
          <w:szCs w:val="24"/>
        </w:rPr>
      </w:pPr>
      <w:r>
        <w:rPr>
          <w:rFonts w:ascii="Times New Roman" w:hAnsi="Times New Roman" w:eastAsia="仿宋" w:cs="Times New Roman"/>
          <w:b/>
          <w:bCs/>
          <w:sz w:val="22"/>
          <w:szCs w:val="24"/>
        </w:rPr>
        <w:t>China Great Wall Quantum Laboratory</w:t>
      </w:r>
      <w:r>
        <w:rPr>
          <w:rFonts w:ascii="Times New Roman" w:hAnsi="Times New Roman" w:eastAsia="仿宋" w:cs="Times New Roman"/>
          <w:sz w:val="22"/>
          <w:szCs w:val="24"/>
        </w:rPr>
        <w:t xml:space="preserve"> conducts fundamental research based on light quantum and topological superconducting quantum computing and does researches on quantum software and control systems and on quantum chip processing and manufacturing. It possesses core scientific quantum projects and an “Innovation &amp; Entrepreneurship” public technology service platform for cloud computing and quantum computing. </w:t>
      </w:r>
      <w:r>
        <w:rPr>
          <w:rFonts w:ascii="Times New Roman" w:hAnsi="Times New Roman" w:eastAsia="仿宋" w:cs="Times New Roman"/>
          <w:b/>
          <w:bCs/>
          <w:sz w:val="22"/>
          <w:szCs w:val="24"/>
        </w:rPr>
        <w:t xml:space="preserve">National and Local Joint Engineering Research Center for Measurement, Control, and Navigation Technology </w:t>
      </w:r>
      <w:r>
        <w:rPr>
          <w:rFonts w:ascii="Times New Roman" w:hAnsi="Times New Roman" w:eastAsia="仿宋" w:cs="Times New Roman"/>
          <w:sz w:val="22"/>
          <w:szCs w:val="24"/>
        </w:rPr>
        <w:t xml:space="preserve">facilitates the transformation of technological innovation by universities and has completed the transformation of multiple scientific and technological achievements in areas such as quantum measurement, autonomous navigation, and space instruments. </w:t>
      </w:r>
      <w:r>
        <w:rPr>
          <w:rFonts w:ascii="Times New Roman" w:hAnsi="Times New Roman" w:eastAsia="仿宋" w:cs="Times New Roman"/>
          <w:b/>
          <w:bCs/>
          <w:sz w:val="22"/>
          <w:szCs w:val="24"/>
        </w:rPr>
        <w:t>Changsha Quantum Measurement Industry Technology Research Institute</w:t>
      </w:r>
      <w:r>
        <w:rPr>
          <w:rFonts w:ascii="Times New Roman" w:hAnsi="Times New Roman" w:eastAsia="仿宋" w:cs="Times New Roman"/>
          <w:sz w:val="22"/>
          <w:szCs w:val="24"/>
        </w:rPr>
        <w:t xml:space="preserve"> focuses on the innovation of quantum measurement technologies, product development, and industrial applications by integrating and leveraging the research strengths of universities such as the National University of Defense Technology and Central South University. </w:t>
      </w:r>
      <w:r>
        <w:rPr>
          <w:rFonts w:ascii="Times New Roman" w:hAnsi="Times New Roman" w:eastAsia="仿宋" w:cs="Times New Roman"/>
          <w:b/>
          <w:bCs/>
          <w:sz w:val="22"/>
          <w:szCs w:val="24"/>
        </w:rPr>
        <w:t>Hunan Telecom</w:t>
      </w:r>
      <w:r>
        <w:rPr>
          <w:rFonts w:ascii="Times New Roman" w:hAnsi="Times New Roman" w:eastAsia="仿宋" w:cs="Times New Roman"/>
          <w:sz w:val="22"/>
          <w:szCs w:val="24"/>
        </w:rPr>
        <w:t xml:space="preserve"> has established the China Telecom Central-South Intelligent Computing Center to provide quantum tech solutions. Hunan has a team of research professionals in precision measurement. Universities such as the National University of Defense Technology, Hunan Normal University, and Central South University have formed a sound quantum talent training system and established an ample quantum talent pool.</w:t>
      </w:r>
    </w:p>
    <w:p w14:paraId="21C9E948">
      <w:pPr>
        <w:snapToGrid w:val="0"/>
        <w:spacing w:line="360" w:lineRule="exact"/>
        <w:ind w:firstLine="442" w:firstLineChars="200"/>
        <w:outlineLvl w:val="2"/>
        <w:rPr>
          <w:rFonts w:ascii="Times New Roman" w:hAnsi="Times New Roman" w:eastAsia="黑体" w:cs="Times New Roman"/>
          <w:b/>
          <w:sz w:val="22"/>
        </w:rPr>
      </w:pPr>
      <w:bookmarkStart w:id="219" w:name="_Toc163910372"/>
      <w:r>
        <w:rPr>
          <w:rFonts w:ascii="Times New Roman" w:hAnsi="Times New Roman" w:eastAsia="黑体" w:cs="Times New Roman"/>
          <w:b/>
          <w:sz w:val="22"/>
        </w:rPr>
        <w:t>(2) Development Target</w:t>
      </w:r>
      <w:bookmarkEnd w:id="219"/>
    </w:p>
    <w:p w14:paraId="3893386D">
      <w:pPr>
        <w:snapToGrid w:val="0"/>
        <w:spacing w:line="360" w:lineRule="exact"/>
        <w:ind w:firstLine="440" w:firstLineChars="200"/>
        <w:rPr>
          <w:rFonts w:ascii="Times New Roman" w:hAnsi="Times New Roman" w:eastAsia="仿宋" w:cs="Times New Roman"/>
          <w:sz w:val="22"/>
          <w:szCs w:val="24"/>
        </w:rPr>
      </w:pPr>
      <w:r>
        <w:rPr>
          <w:rFonts w:ascii="Times New Roman" w:hAnsi="Times New Roman" w:eastAsia="仿宋" w:cs="Times New Roman"/>
          <w:sz w:val="22"/>
          <w:szCs w:val="24"/>
        </w:rPr>
        <w:t xml:space="preserve">By 2027, efforts will be made to achieve a series of breakthroughs in technologies such as quantum computing, quantum communication, and </w:t>
      </w:r>
      <w:r>
        <w:rPr>
          <w:rFonts w:ascii="Times New Roman" w:hAnsi="Times New Roman" w:eastAsia="仿宋" w:cs="Times New Roman"/>
          <w:sz w:val="22"/>
        </w:rPr>
        <w:t>quantum precision measurement</w:t>
      </w:r>
      <w:r>
        <w:rPr>
          <w:rFonts w:ascii="Times New Roman" w:hAnsi="Times New Roman" w:eastAsia="仿宋" w:cs="Times New Roman"/>
          <w:sz w:val="22"/>
          <w:szCs w:val="24"/>
        </w:rPr>
        <w:t xml:space="preserve"> Additionally, a number of Little Giants will be nurtured, and technological achievements projects will be industrialized.</w:t>
      </w:r>
    </w:p>
    <w:p w14:paraId="22A13582">
      <w:pPr>
        <w:snapToGrid w:val="0"/>
        <w:spacing w:line="360" w:lineRule="exact"/>
        <w:ind w:firstLine="442" w:firstLineChars="200"/>
        <w:outlineLvl w:val="2"/>
        <w:rPr>
          <w:rFonts w:ascii="Times New Roman" w:hAnsi="Times New Roman" w:eastAsia="黑体" w:cs="Times New Roman"/>
          <w:b/>
          <w:sz w:val="22"/>
        </w:rPr>
      </w:pPr>
      <w:bookmarkStart w:id="220" w:name="_Toc163910373"/>
      <w:r>
        <w:rPr>
          <w:rFonts w:ascii="Times New Roman" w:hAnsi="Times New Roman" w:eastAsia="黑体" w:cs="Times New Roman"/>
          <w:b/>
          <w:sz w:val="22"/>
        </w:rPr>
        <w:t>(3) Policy Support</w:t>
      </w:r>
      <w:bookmarkEnd w:id="220"/>
    </w:p>
    <w:p w14:paraId="1DC5947B">
      <w:pPr>
        <w:pStyle w:val="85"/>
        <w:numPr>
          <w:ilvl w:val="0"/>
          <w:numId w:val="3"/>
        </w:numPr>
        <w:ind w:left="426" w:hanging="142" w:firstLineChars="0"/>
        <w:rPr>
          <w:i/>
          <w:iCs/>
        </w:rPr>
      </w:pPr>
      <w:r>
        <w:rPr>
          <w:i/>
          <w:iCs/>
        </w:rPr>
        <w:t>Policies on Building Changsha into a Global R&amp;D Hub</w:t>
      </w:r>
    </w:p>
    <w:p w14:paraId="3536F466">
      <w:pPr>
        <w:rPr>
          <w:i/>
          <w:iCs/>
        </w:rPr>
      </w:pPr>
      <w:r>
        <w:rPr>
          <w:iCs/>
        </w:rPr>
        <mc:AlternateContent>
          <mc:Choice Requires="wps">
            <w:drawing>
              <wp:anchor distT="0" distB="0" distL="114300" distR="114300" simplePos="0" relativeHeight="251677696" behindDoc="0" locked="0" layoutInCell="1" allowOverlap="1">
                <wp:simplePos x="0" y="0"/>
                <wp:positionH relativeFrom="column">
                  <wp:posOffset>160655</wp:posOffset>
                </wp:positionH>
                <wp:positionV relativeFrom="paragraph">
                  <wp:posOffset>95250</wp:posOffset>
                </wp:positionV>
                <wp:extent cx="3815080" cy="1931035"/>
                <wp:effectExtent l="6350" t="87630" r="19050" b="8255"/>
                <wp:wrapNone/>
                <wp:docPr id="39" name="矩形标注 48"/>
                <wp:cNvGraphicFramePr/>
                <a:graphic xmlns:a="http://schemas.openxmlformats.org/drawingml/2006/main">
                  <a:graphicData uri="http://schemas.microsoft.com/office/word/2010/wordprocessingShape">
                    <wps:wsp>
                      <wps:cNvSpPr/>
                      <wps:spPr>
                        <a:xfrm>
                          <a:off x="0" y="0"/>
                          <a:ext cx="3815080" cy="1931035"/>
                        </a:xfrm>
                        <a:prstGeom prst="wedgeRectCallout">
                          <a:avLst>
                            <a:gd name="adj1" fmla="val -41856"/>
                            <a:gd name="adj2" fmla="val -54060"/>
                          </a:avLst>
                        </a:prstGeom>
                        <a:solidFill>
                          <a:srgbClr val="E2EFD9"/>
                        </a:solidFill>
                        <a:ln w="12700" cap="flat" cmpd="sng">
                          <a:solidFill>
                            <a:srgbClr val="A8D08D"/>
                          </a:solidFill>
                          <a:prstDash val="solid"/>
                          <a:miter/>
                          <a:headEnd type="none" w="med" len="med"/>
                          <a:tailEnd type="none" w="med" len="med"/>
                        </a:ln>
                      </wps:spPr>
                      <wps:txbx>
                        <w:txbxContent>
                          <w:p w14:paraId="04EF30C5">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0C6EC7CF">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Fiscal Support: </w:t>
                            </w:r>
                            <w:r>
                              <w:rPr>
                                <w:rFonts w:ascii="Times New Roman" w:hAnsi="Times New Roman" w:cs="Times New Roman"/>
                                <w:color w:val="3F3F3F" w:themeColor="text1" w:themeTint="BF"/>
                                <w:sz w:val="18"/>
                                <w:szCs w:val="18"/>
                              </w:rPr>
                              <w:t>Including, but not limited to, providing up to 1 billion RMB in support for R&amp;D enterprises (centers) (project-specific), and providing up to 10 million RMB, capped at 10% of the annual increase in R&amp;D investment. Please refer to relevant policy documents for details.</w:t>
                            </w:r>
                          </w:p>
                          <w:p w14:paraId="5FF0D33D">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Financial Support: </w:t>
                            </w:r>
                            <w:r>
                              <w:rPr>
                                <w:rFonts w:ascii="Times New Roman" w:hAnsi="Times New Roman" w:cs="Times New Roman"/>
                                <w:color w:val="3F3F3F" w:themeColor="text1" w:themeTint="BF"/>
                                <w:sz w:val="18"/>
                                <w:szCs w:val="18"/>
                              </w:rPr>
                              <w:t>Including, but not limited to, establishing a 3 billion RMB Technology Innovation Guidance Fund to support tech companies in the seed, early, and growth stages and establishing a 2 billion RMB Talent Support Fund to support innovation and entrepreneurship of high-caliber talent. Please refer to relevant policy documents for details.</w:t>
                            </w:r>
                          </w:p>
                          <w:p w14:paraId="68E02C97">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Land Support: </w:t>
                            </w:r>
                            <w:r>
                              <w:rPr>
                                <w:rFonts w:ascii="Times New Roman" w:hAnsi="Times New Roman" w:cs="Times New Roman"/>
                                <w:color w:val="3F3F3F" w:themeColor="text1" w:themeTint="BF"/>
                                <w:sz w:val="18"/>
                                <w:szCs w:val="18"/>
                              </w:rPr>
                              <w:t>We encourage enterprises to use industrial land to build their own R&amp;D, design, testing, and pilot facilities. These facilities can be excluded from the calculation of administrative offices and living service facilities, but their total floor area must not exceed 15% of the total floor area.</w:t>
                            </w:r>
                          </w:p>
                        </w:txbxContent>
                      </wps:txbx>
                      <wps:bodyPr anchor="ctr" anchorCtr="0" upright="1"/>
                    </wps:wsp>
                  </a:graphicData>
                </a:graphic>
              </wp:anchor>
            </w:drawing>
          </mc:Choice>
          <mc:Fallback>
            <w:pict>
              <v:shape id="矩形标注 48" o:spid="_x0000_s1026" o:spt="61" type="#_x0000_t61" style="position:absolute;left:0pt;margin-left:12.65pt;margin-top:7.5pt;height:152.05pt;width:300.4pt;z-index:251677696;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" adj="1759,-877">
                <v:fill on="t" focussize="0,0"/>
                <v:stroke weight="1pt" color="#A8D08D" joinstyle="miter"/>
                <v:imagedata o:title=""/>
                <o:lock v:ext="edit" aspectratio="f"/>
                <v:textbox>
                  <w:txbxContent>
                    <w:p w14:paraId="04EF30C5">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0C6EC7CF">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Fiscal Support: </w:t>
                      </w:r>
                      <w:r>
                        <w:rPr>
                          <w:rFonts w:ascii="Times New Roman" w:hAnsi="Times New Roman" w:cs="Times New Roman"/>
                          <w:color w:val="3F3F3F" w:themeColor="text1" w:themeTint="BF"/>
                          <w:sz w:val="18"/>
                          <w:szCs w:val="18"/>
                        </w:rPr>
                        <w:t>Including, but not limited to, providing up to 1 billion RMB in support for R&amp;D enterprises (centers) (project-specific), and providing up to 10 million RMB, capped at 10% of the annual increase in R&amp;D investment. Please refer to relevant policy documents for details.</w:t>
                      </w:r>
                    </w:p>
                    <w:p w14:paraId="5FF0D33D">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Financial Support: </w:t>
                      </w:r>
                      <w:r>
                        <w:rPr>
                          <w:rFonts w:ascii="Times New Roman" w:hAnsi="Times New Roman" w:cs="Times New Roman"/>
                          <w:color w:val="3F3F3F" w:themeColor="text1" w:themeTint="BF"/>
                          <w:sz w:val="18"/>
                          <w:szCs w:val="18"/>
                        </w:rPr>
                        <w:t>Including, but not limited to, establishing a 3 billion RMB Technology Innovation Guidance Fund to support tech companies in the seed, early, and growth stages and establishing a 2 billion RMB Talent Support Fund to support innovation and entrepreneurship of high-caliber talent. Please refer to relevant policy documents for details.</w:t>
                      </w:r>
                    </w:p>
                    <w:p w14:paraId="68E02C97">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Land Support: </w:t>
                      </w:r>
                      <w:r>
                        <w:rPr>
                          <w:rFonts w:ascii="Times New Roman" w:hAnsi="Times New Roman" w:cs="Times New Roman"/>
                          <w:color w:val="3F3F3F" w:themeColor="text1" w:themeTint="BF"/>
                          <w:sz w:val="18"/>
                          <w:szCs w:val="18"/>
                        </w:rPr>
                        <w:t>We encourage enterprises to use industrial land to build their own R&amp;D, design, testing, and pilot facilities. These facilities can be excluded from the calculation of administrative offices and living service facilities, but their total floor area must not exceed 15% of the total floor area.</w:t>
                      </w:r>
                    </w:p>
                  </w:txbxContent>
                </v:textbox>
              </v:shape>
            </w:pict>
          </mc:Fallback>
        </mc:AlternateContent>
      </w:r>
    </w:p>
    <w:p w14:paraId="2E5955BE">
      <w:pPr>
        <w:rPr>
          <w:i/>
          <w:iCs/>
        </w:rPr>
      </w:pPr>
    </w:p>
    <w:p w14:paraId="1A590D47">
      <w:pPr>
        <w:rPr>
          <w:i/>
          <w:iCs/>
        </w:rPr>
      </w:pPr>
    </w:p>
    <w:p w14:paraId="69B6312A">
      <w:pPr>
        <w:rPr>
          <w:i/>
          <w:iCs/>
        </w:rPr>
      </w:pPr>
    </w:p>
    <w:p w14:paraId="593103EB">
      <w:pPr>
        <w:rPr>
          <w:i/>
          <w:iCs/>
        </w:rPr>
      </w:pPr>
    </w:p>
    <w:p w14:paraId="56E1F70A">
      <w:pPr>
        <w:pStyle w:val="85"/>
        <w:numPr>
          <w:ilvl w:val="0"/>
          <w:numId w:val="3"/>
        </w:numPr>
        <w:ind w:left="426" w:hanging="142" w:firstLineChars="0"/>
        <w:rPr>
          <w:i/>
          <w:iCs/>
        </w:rPr>
      </w:pPr>
      <w:r>
        <w:rPr>
          <w:i/>
          <w:iCs/>
        </w:rPr>
        <w:t>Implementation Guidelines for Fully Changsha into a Global R&amp;D Hub and a Technological Innovation Pacesetter with Core Competitiveness</w:t>
      </w:r>
    </w:p>
    <w:p w14:paraId="73DD70AD">
      <w:pPr>
        <w:pStyle w:val="85"/>
        <w:numPr>
          <w:ilvl w:val="0"/>
          <w:numId w:val="3"/>
        </w:numPr>
        <w:ind w:left="426" w:hanging="142" w:firstLineChars="0"/>
        <w:rPr>
          <w:i/>
          <w:iCs/>
        </w:rPr>
      </w:pPr>
      <w:r>
        <w:rPr>
          <w:rFonts w:cs="仿宋_GB2312"/>
        </w:rPr>
        <mc:AlternateContent>
          <mc:Choice Requires="wps">
            <w:drawing>
              <wp:anchor distT="0" distB="0" distL="114300" distR="114300" simplePos="0" relativeHeight="251693056" behindDoc="0" locked="0" layoutInCell="1" allowOverlap="1">
                <wp:simplePos x="0" y="0"/>
                <wp:positionH relativeFrom="margin">
                  <wp:posOffset>3057525</wp:posOffset>
                </wp:positionH>
                <wp:positionV relativeFrom="margin">
                  <wp:posOffset>4638040</wp:posOffset>
                </wp:positionV>
                <wp:extent cx="914400" cy="962025"/>
                <wp:effectExtent l="6350" t="6350" r="8890" b="6985"/>
                <wp:wrapSquare wrapText="bothSides"/>
                <wp:docPr id="54" name="文本框 34"/>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4DFE69B3">
                            <w:pPr>
                              <w:pStyle w:val="92"/>
                              <w:adjustRightInd w:val="0"/>
                            </w:pPr>
                            <w:r>
                              <w:drawing>
                                <wp:inline distT="0" distB="0" distL="0" distR="0">
                                  <wp:extent cx="722630" cy="722630"/>
                                  <wp:effectExtent l="0" t="0" r="1270" b="127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84">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1C33A077">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5F4D7041">
                            <w:pPr>
                              <w:pStyle w:val="92"/>
                              <w:adjustRightInd w:val="0"/>
                            </w:pPr>
                          </w:p>
                        </w:txbxContent>
                      </wps:txbx>
                      <wps:bodyPr upright="1"/>
                    </wps:wsp>
                  </a:graphicData>
                </a:graphic>
              </wp:anchor>
            </w:drawing>
          </mc:Choice>
          <mc:Fallback>
            <w:pict>
              <v:shape id="文本框 34" o:spid="_x0000_s1026" o:spt="202" type="#_x0000_t202" style="position:absolute;left:0pt;margin-left:240.75pt;margin-top:365.2pt;height:75.75pt;width:72pt;mso-position-horizontal-relative:margin;mso-position-vertical-relative:margin;mso-wrap-distance-bottom:0pt;mso-wrap-distance-left:9pt;mso-wrap-distance-right:9pt;mso-wrap-distance-top:0pt;z-index:251693056;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">
                <v:fill on="f" focussize="0,0"/>
                <v:stroke weight="1pt" color="#A8D08D" joinstyle="miter"/>
                <v:imagedata o:title=""/>
                <o:lock v:ext="edit" aspectratio="f"/>
                <v:textbox>
                  <w:txbxContent>
                    <w:p w14:paraId="4DFE69B3">
                      <w:pPr>
                        <w:pStyle w:val="92"/>
                        <w:adjustRightInd w:val="0"/>
                      </w:pPr>
                      <w:r>
                        <w:drawing>
                          <wp:inline distT="0" distB="0" distL="0" distR="0">
                            <wp:extent cx="722630" cy="722630"/>
                            <wp:effectExtent l="0" t="0" r="1270" b="127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84">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1C33A077">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5F4D7041">
                      <w:pPr>
                        <w:pStyle w:val="92"/>
                        <w:adjustRightInd w:val="0"/>
                      </w:pPr>
                    </w:p>
                  </w:txbxContent>
                </v:textbox>
                <w10:wrap type="square"/>
              </v:shape>
            </w:pict>
          </mc:Fallback>
        </mc:AlternateContent>
      </w:r>
      <w:r>
        <w:rPr>
          <w:i/>
          <w:iCs/>
        </w:rPr>
        <w:t>14th Five-Year Plan and Long-Range Objectives through the Year 2035 for the Measurement Sector in Hunan Province</w:t>
      </w:r>
    </w:p>
    <w:p w14:paraId="4B0A6CDF">
      <w:pPr>
        <w:pStyle w:val="85"/>
        <w:numPr>
          <w:ilvl w:val="0"/>
          <w:numId w:val="3"/>
        </w:numPr>
        <w:ind w:left="426" w:hanging="142" w:firstLineChars="0"/>
        <w:rPr>
          <w:i/>
          <w:iCs/>
        </w:rPr>
      </w:pPr>
      <w:r>
        <w:rPr>
          <w:i/>
          <w:iCs/>
        </w:rPr>
        <w:t>Implementation Guidelines for People’s Government of Hunan Province on Promoting the High-Quality Development of the Measurement Sector</w:t>
      </w:r>
    </w:p>
    <w:p w14:paraId="558D67BB">
      <w:pPr>
        <w:pStyle w:val="85"/>
        <w:numPr>
          <w:ilvl w:val="0"/>
          <w:numId w:val="3"/>
        </w:numPr>
        <w:ind w:left="426" w:hanging="142" w:firstLineChars="0"/>
        <w:rPr>
          <w:i/>
          <w:iCs/>
        </w:rPr>
      </w:pPr>
      <w:r>
        <w:rPr>
          <w:i/>
          <w:iCs/>
        </w:rPr>
        <w:t>Policy Measures for Further Strengthening Investment Promotion in Hunan Province</w:t>
      </w:r>
    </w:p>
    <w:p w14:paraId="4A2C2988">
      <w:pPr>
        <w:adjustRightInd w:val="0"/>
        <w:snapToGrid w:val="0"/>
        <w:spacing w:beforeLines="50" w:line="360" w:lineRule="exact"/>
        <w:jc w:val="center"/>
        <w:rPr>
          <w:rFonts w:ascii="Times New Roman" w:hAnsi="Times New Roman" w:eastAsia="仿宋" w:cs="Times New Roman"/>
          <w:sz w:val="18"/>
          <w:szCs w:val="18"/>
        </w:rPr>
      </w:pPr>
      <w:r>
        <w:rPr>
          <w:rFonts w:ascii="Times New Roman" w:hAnsi="Times New Roman" w:eastAsia="黑体" w:cs="Times New Roman"/>
          <w:sz w:val="18"/>
          <w:szCs w:val="18"/>
        </w:rPr>
        <w:t xml:space="preserve">Funds </w:t>
      </w:r>
      <w:r>
        <w:rPr>
          <w:rFonts w:ascii="Times New Roman" w:hAnsi="Times New Roman" w:eastAsia="仿宋" w:cs="Times New Roman"/>
          <w:sz w:val="18"/>
          <w:szCs w:val="18"/>
        </w:rPr>
        <w:t>supporting</w:t>
      </w:r>
      <w:r>
        <w:rPr>
          <w:rFonts w:ascii="Times New Roman" w:hAnsi="Times New Roman" w:eastAsia="黑体" w:cs="Times New Roman"/>
          <w:sz w:val="18"/>
          <w:szCs w:val="18"/>
        </w:rPr>
        <w:t xml:space="preserve"> quantum technology industry</w:t>
      </w:r>
    </w:p>
    <w:tbl>
      <w:tblPr>
        <w:tblStyle w:val="136"/>
        <w:tblW w:w="5000" w:type="pct"/>
        <w:tblInd w:w="0" w:type="dxa"/>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Layout w:type="autofit"/>
        <w:tblCellMar>
          <w:top w:w="0" w:type="dxa"/>
          <w:left w:w="108" w:type="dxa"/>
          <w:bottom w:w="0" w:type="dxa"/>
          <w:right w:w="108" w:type="dxa"/>
        </w:tblCellMar>
      </w:tblPr>
      <w:tblGrid>
        <w:gridCol w:w="393"/>
        <w:gridCol w:w="1433"/>
        <w:gridCol w:w="1779"/>
        <w:gridCol w:w="544"/>
        <w:gridCol w:w="802"/>
        <w:gridCol w:w="1496"/>
      </w:tblGrid>
      <w:tr w14:paraId="77CD2EC9">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blHeader/>
        </w:trPr>
        <w:tc>
          <w:tcPr>
            <w:tcW w:w="305" w:type="pct"/>
            <w:vAlign w:val="center"/>
          </w:tcPr>
          <w:p w14:paraId="5C7CA050">
            <w:pPr>
              <w:widowControl/>
              <w:adjustRightInd w:val="0"/>
              <w:snapToGrid w:val="0"/>
              <w:spacing w:line="180" w:lineRule="exact"/>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仿宋" w:cs="Times New Roman"/>
                <w:b/>
                <w:bCs/>
                <w:kern w:val="0"/>
                <w:sz w:val="18"/>
                <w:szCs w:val="18"/>
              </w:rPr>
              <w:t>No.</w:t>
            </w:r>
          </w:p>
        </w:tc>
        <w:tc>
          <w:tcPr>
            <w:tcW w:w="1111" w:type="pct"/>
            <w:vAlign w:val="center"/>
          </w:tcPr>
          <w:p w14:paraId="3D35CFF8">
            <w:pPr>
              <w:widowControl/>
              <w:adjustRightInd w:val="0"/>
              <w:snapToGrid w:val="0"/>
              <w:spacing w:line="180" w:lineRule="exact"/>
              <w:ind w:left="-105" w:leftChars="-50" w:right="-105" w:rightChars="-5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Fund</w:t>
            </w:r>
          </w:p>
        </w:tc>
        <w:tc>
          <w:tcPr>
            <w:tcW w:w="1380" w:type="pct"/>
            <w:vAlign w:val="center"/>
          </w:tcPr>
          <w:p w14:paraId="2D38B7A2">
            <w:pPr>
              <w:widowControl/>
              <w:adjustRightInd w:val="0"/>
              <w:snapToGrid w:val="0"/>
              <w:spacing w:line="180" w:lineRule="exact"/>
              <w:ind w:left="-105" w:leftChars="-50" w:right="-105" w:rightChars="-5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Sector</w:t>
            </w:r>
          </w:p>
        </w:tc>
        <w:tc>
          <w:tcPr>
            <w:tcW w:w="422" w:type="pct"/>
            <w:vAlign w:val="center"/>
          </w:tcPr>
          <w:p w14:paraId="57BB8905">
            <w:pPr>
              <w:widowControl/>
              <w:adjustRightInd w:val="0"/>
              <w:snapToGrid w:val="0"/>
              <w:spacing w:line="180" w:lineRule="exact"/>
              <w:ind w:left="-105" w:leftChars="-50" w:right="-105" w:rightChars="-5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Est. Time</w:t>
            </w:r>
          </w:p>
        </w:tc>
        <w:tc>
          <w:tcPr>
            <w:tcW w:w="622" w:type="pct"/>
            <w:vAlign w:val="center"/>
          </w:tcPr>
          <w:p w14:paraId="11CE6FEB">
            <w:pPr>
              <w:widowControl/>
              <w:adjustRightInd w:val="0"/>
              <w:snapToGrid w:val="0"/>
              <w:spacing w:line="180" w:lineRule="exact"/>
              <w:ind w:left="-105" w:leftChars="-50" w:right="-105" w:rightChars="-5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Scale (RMB)</w:t>
            </w:r>
          </w:p>
        </w:tc>
        <w:tc>
          <w:tcPr>
            <w:tcW w:w="1160" w:type="pct"/>
            <w:vAlign w:val="center"/>
          </w:tcPr>
          <w:p w14:paraId="6727287D">
            <w:pPr>
              <w:widowControl/>
              <w:adjustRightInd w:val="0"/>
              <w:snapToGrid w:val="0"/>
              <w:spacing w:line="180" w:lineRule="exact"/>
              <w:ind w:left="-105" w:leftChars="-50" w:right="-105" w:rightChars="-50"/>
              <w:jc w:val="center"/>
              <w:rPr>
                <w:rFonts w:ascii="Times New Roman" w:hAnsi="Times New Roman" w:eastAsia="楷体" w:cs="Times New Roman"/>
                <w:b/>
                <w:bCs/>
                <w:kern w:val="0"/>
                <w:sz w:val="18"/>
                <w:szCs w:val="18"/>
              </w:rPr>
            </w:pPr>
            <w:r>
              <w:rPr>
                <w:rFonts w:ascii="Times New Roman" w:hAnsi="Times New Roman" w:eastAsia="仿宋" w:cs="Times New Roman"/>
                <w:b/>
                <w:bCs/>
                <w:kern w:val="0"/>
                <w:sz w:val="18"/>
                <w:szCs w:val="18"/>
              </w:rPr>
              <w:t>Remarks</w:t>
            </w:r>
          </w:p>
        </w:tc>
      </w:tr>
      <w:tr w14:paraId="4FA9E147">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1305" w:hRule="atLeast"/>
        </w:trPr>
        <w:tc>
          <w:tcPr>
            <w:tcW w:w="305" w:type="pct"/>
            <w:shd w:val="clear" w:color="auto" w:fill="EAF1DD"/>
            <w:vAlign w:val="center"/>
          </w:tcPr>
          <w:p w14:paraId="25605DAF">
            <w:pPr>
              <w:widowControl/>
              <w:adjustRightInd w:val="0"/>
              <w:snapToGrid w:val="0"/>
              <w:spacing w:line="180" w:lineRule="exact"/>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1</w:t>
            </w:r>
          </w:p>
        </w:tc>
        <w:tc>
          <w:tcPr>
            <w:tcW w:w="1111" w:type="pct"/>
            <w:shd w:val="clear" w:color="auto" w:fill="EAF1DD"/>
            <w:vAlign w:val="center"/>
          </w:tcPr>
          <w:p w14:paraId="55260235">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Hunan Emerging Industry Stock Investment Guidance Fund</w:t>
            </w:r>
          </w:p>
        </w:tc>
        <w:tc>
          <w:tcPr>
            <w:tcW w:w="1380" w:type="pct"/>
            <w:shd w:val="clear" w:color="auto" w:fill="EAF1DD"/>
            <w:vAlign w:val="center"/>
          </w:tcPr>
          <w:p w14:paraId="4C4A7C84">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Information industry and Cultural and Creative industries, with a focus on information security, AR, and VR, as well as other fields.</w:t>
            </w:r>
          </w:p>
        </w:tc>
        <w:tc>
          <w:tcPr>
            <w:tcW w:w="422" w:type="pct"/>
            <w:shd w:val="clear" w:color="auto" w:fill="EAF1DD"/>
            <w:vAlign w:val="center"/>
          </w:tcPr>
          <w:p w14:paraId="14B8C115">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2018</w:t>
            </w:r>
          </w:p>
        </w:tc>
        <w:tc>
          <w:tcPr>
            <w:tcW w:w="622" w:type="pct"/>
            <w:shd w:val="clear" w:color="auto" w:fill="EAF1DD"/>
            <w:vAlign w:val="center"/>
          </w:tcPr>
          <w:p w14:paraId="679C2B9C">
            <w:pPr>
              <w:adjustRightInd w:val="0"/>
              <w:snapToGrid w:val="0"/>
              <w:spacing w:line="180" w:lineRule="exact"/>
              <w:ind w:left="-105" w:leftChars="-50" w:right="-105" w:rightChars="-50"/>
              <w:jc w:val="center"/>
              <w:rPr>
                <w:rFonts w:ascii="Times New Roman" w:hAnsi="Times New Roman" w:eastAsia="仿宋" w:cs="Times New Roman"/>
                <w:kern w:val="0"/>
                <w:sz w:val="18"/>
                <w:szCs w:val="18"/>
              </w:rPr>
            </w:pPr>
            <w:r>
              <w:rPr>
                <w:rFonts w:ascii="Times New Roman" w:hAnsi="Times New Roman" w:eastAsia="仿宋" w:cs="Times New Roman"/>
                <w:kern w:val="0"/>
                <w:sz w:val="18"/>
                <w:szCs w:val="18"/>
              </w:rPr>
              <w:t>35 billion;</w:t>
            </w:r>
          </w:p>
          <w:p w14:paraId="0D1715AA">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phase Ⅰ: 10 billion</w:t>
            </w:r>
          </w:p>
        </w:tc>
        <w:tc>
          <w:tcPr>
            <w:tcW w:w="1160" w:type="pct"/>
            <w:shd w:val="clear" w:color="auto" w:fill="EAF1DD"/>
            <w:vAlign w:val="center"/>
          </w:tcPr>
          <w:p w14:paraId="4DD709B9">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Managed by Hunan Chasing Fund Management, with eight sub-funds established</w:t>
            </w:r>
          </w:p>
        </w:tc>
      </w:tr>
      <w:tr w14:paraId="614E6A22">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1111" w:hRule="atLeast"/>
        </w:trPr>
        <w:tc>
          <w:tcPr>
            <w:tcW w:w="305" w:type="pct"/>
            <w:vAlign w:val="center"/>
          </w:tcPr>
          <w:p w14:paraId="7B11B7C0">
            <w:pPr>
              <w:widowControl/>
              <w:adjustRightInd w:val="0"/>
              <w:snapToGrid w:val="0"/>
              <w:spacing w:line="180" w:lineRule="exact"/>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2</w:t>
            </w:r>
          </w:p>
        </w:tc>
        <w:tc>
          <w:tcPr>
            <w:tcW w:w="1111" w:type="pct"/>
            <w:vAlign w:val="center"/>
          </w:tcPr>
          <w:p w14:paraId="221D3B1D">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Chasing Jingjin Fund</w:t>
            </w:r>
          </w:p>
        </w:tc>
        <w:tc>
          <w:tcPr>
            <w:tcW w:w="1380" w:type="pct"/>
            <w:vAlign w:val="center"/>
          </w:tcPr>
          <w:p w14:paraId="549C5447">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Industries such as information technology, smart mobility, and consumer goods (including Internet Plus)</w:t>
            </w:r>
          </w:p>
        </w:tc>
        <w:tc>
          <w:tcPr>
            <w:tcW w:w="422" w:type="pct"/>
            <w:vAlign w:val="center"/>
          </w:tcPr>
          <w:p w14:paraId="72D50F5A">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2019</w:t>
            </w:r>
          </w:p>
        </w:tc>
        <w:tc>
          <w:tcPr>
            <w:tcW w:w="622" w:type="pct"/>
            <w:vAlign w:val="center"/>
          </w:tcPr>
          <w:p w14:paraId="70CBD669">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5 billion expected</w:t>
            </w:r>
          </w:p>
        </w:tc>
        <w:tc>
          <w:tcPr>
            <w:tcW w:w="1160" w:type="pct"/>
            <w:vAlign w:val="center"/>
          </w:tcPr>
          <w:p w14:paraId="7AD1AE4D">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Managed by Hunan Chasing Fund Management</w:t>
            </w:r>
          </w:p>
        </w:tc>
      </w:tr>
      <w:tr w14:paraId="5A7764E5">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2403" w:hRule="atLeast"/>
        </w:trPr>
        <w:tc>
          <w:tcPr>
            <w:tcW w:w="305" w:type="pct"/>
            <w:shd w:val="clear" w:color="auto" w:fill="EAF1DD"/>
            <w:vAlign w:val="center"/>
          </w:tcPr>
          <w:p w14:paraId="26B08272">
            <w:pPr>
              <w:widowControl/>
              <w:adjustRightInd w:val="0"/>
              <w:snapToGrid w:val="0"/>
              <w:spacing w:line="180" w:lineRule="exact"/>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3</w:t>
            </w:r>
          </w:p>
        </w:tc>
        <w:tc>
          <w:tcPr>
            <w:tcW w:w="1111" w:type="pct"/>
            <w:shd w:val="clear" w:color="auto" w:fill="EAF1DD"/>
            <w:vAlign w:val="center"/>
          </w:tcPr>
          <w:p w14:paraId="4A1064C3">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Changsha Industrial Development Fund of Funds (FOF)</w:t>
            </w:r>
          </w:p>
        </w:tc>
        <w:tc>
          <w:tcPr>
            <w:tcW w:w="1380" w:type="pct"/>
            <w:shd w:val="clear" w:color="auto" w:fill="EAF1DD"/>
            <w:vAlign w:val="center"/>
          </w:tcPr>
          <w:p w14:paraId="20CC5492">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 xml:space="preserve">Changsha’s 22 industrial and emerging competitive industrial chains and “1+2+N” advanced manufacturing clusters, including </w:t>
            </w:r>
            <w:r>
              <w:rPr>
                <w:rFonts w:ascii="Times New Roman" w:hAnsi="Times New Roman" w:eastAsia="楷体" w:cs="Times New Roman"/>
                <w:kern w:val="0"/>
                <w:sz w:val="18"/>
                <w:szCs w:val="18"/>
              </w:rPr>
              <w:t>Secure and reliable computing,</w:t>
            </w:r>
            <w:r>
              <w:rPr>
                <w:rFonts w:ascii="Times New Roman" w:hAnsi="Times New Roman" w:eastAsia="仿宋" w:cs="Times New Roman"/>
                <w:kern w:val="0"/>
                <w:sz w:val="18"/>
                <w:szCs w:val="18"/>
              </w:rPr>
              <w:t xml:space="preserve"> </w:t>
            </w:r>
            <w:r>
              <w:rPr>
                <w:rFonts w:ascii="Times New Roman" w:hAnsi="Times New Roman" w:eastAsia="楷体" w:cs="Times New Roman"/>
                <w:kern w:val="0"/>
                <w:sz w:val="18"/>
                <w:szCs w:val="18"/>
              </w:rPr>
              <w:t>innovative applications, next-generation semiconductors, and so on</w:t>
            </w:r>
          </w:p>
        </w:tc>
        <w:tc>
          <w:tcPr>
            <w:tcW w:w="422" w:type="pct"/>
            <w:shd w:val="clear" w:color="auto" w:fill="EAF1DD"/>
            <w:vAlign w:val="center"/>
          </w:tcPr>
          <w:p w14:paraId="4486041B">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2023</w:t>
            </w:r>
          </w:p>
        </w:tc>
        <w:tc>
          <w:tcPr>
            <w:tcW w:w="622" w:type="pct"/>
            <w:shd w:val="clear" w:color="auto" w:fill="EAF1DD"/>
            <w:vAlign w:val="center"/>
          </w:tcPr>
          <w:p w14:paraId="4B800BA8">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30 billion</w:t>
            </w:r>
          </w:p>
        </w:tc>
        <w:tc>
          <w:tcPr>
            <w:tcW w:w="1160" w:type="pct"/>
            <w:shd w:val="clear" w:color="auto" w:fill="EAF1DD"/>
            <w:vAlign w:val="center"/>
          </w:tcPr>
          <w:p w14:paraId="3F8D2294">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Established under the leadership of Changsha Investment Holding Group</w:t>
            </w:r>
          </w:p>
        </w:tc>
      </w:tr>
      <w:tr w14:paraId="7A863DA3">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305" w:type="pct"/>
            <w:vAlign w:val="center"/>
          </w:tcPr>
          <w:p w14:paraId="73F2B890">
            <w:pPr>
              <w:widowControl/>
              <w:adjustRightInd w:val="0"/>
              <w:snapToGrid w:val="0"/>
              <w:spacing w:line="180" w:lineRule="exact"/>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4</w:t>
            </w:r>
          </w:p>
        </w:tc>
        <w:tc>
          <w:tcPr>
            <w:tcW w:w="1111" w:type="pct"/>
            <w:vAlign w:val="center"/>
          </w:tcPr>
          <w:p w14:paraId="50A62AB4">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Hunan Xiangjiang Shengshi Stock Investment Fund</w:t>
            </w:r>
          </w:p>
        </w:tc>
        <w:tc>
          <w:tcPr>
            <w:tcW w:w="1380" w:type="pct"/>
            <w:vAlign w:val="center"/>
          </w:tcPr>
          <w:p w14:paraId="358F462A">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 xml:space="preserve">The mobile internet industry and next-generation information technology </w:t>
            </w:r>
            <w:r>
              <w:rPr>
                <w:rFonts w:ascii="Times New Roman" w:hAnsi="Times New Roman" w:eastAsia="仿宋" w:cs="Times New Roman"/>
                <w:kern w:val="0"/>
                <w:sz w:val="18"/>
                <w:szCs w:val="18"/>
              </w:rPr>
              <w:t>and other “10 + 6” industrial chains</w:t>
            </w:r>
            <w:r>
              <w:rPr>
                <w:rFonts w:ascii="Times New Roman" w:hAnsi="Times New Roman" w:eastAsia="楷体" w:cs="Times New Roman"/>
                <w:kern w:val="0"/>
                <w:sz w:val="18"/>
                <w:szCs w:val="18"/>
              </w:rPr>
              <w:t xml:space="preserve"> as well as Intelligent equipment, intelligent terminals, intelligent connected vehicles, and power chips</w:t>
            </w:r>
          </w:p>
        </w:tc>
        <w:tc>
          <w:tcPr>
            <w:tcW w:w="422" w:type="pct"/>
            <w:vAlign w:val="center"/>
          </w:tcPr>
          <w:p w14:paraId="5B094949">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2017</w:t>
            </w:r>
          </w:p>
        </w:tc>
        <w:tc>
          <w:tcPr>
            <w:tcW w:w="622" w:type="pct"/>
            <w:vAlign w:val="center"/>
          </w:tcPr>
          <w:p w14:paraId="3C50A539">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2 billion</w:t>
            </w:r>
          </w:p>
        </w:tc>
        <w:tc>
          <w:tcPr>
            <w:tcW w:w="1160" w:type="pct"/>
            <w:vAlign w:val="center"/>
          </w:tcPr>
          <w:p w14:paraId="49CE85D9">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Initiated by Hunan Xiangjiang New Area</w:t>
            </w:r>
          </w:p>
        </w:tc>
      </w:tr>
      <w:tr w14:paraId="5E770F0D">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305" w:type="pct"/>
            <w:shd w:val="clear" w:color="auto" w:fill="EAF1DD"/>
            <w:vAlign w:val="center"/>
          </w:tcPr>
          <w:p w14:paraId="2378B227">
            <w:pPr>
              <w:widowControl/>
              <w:adjustRightInd w:val="0"/>
              <w:snapToGrid w:val="0"/>
              <w:spacing w:line="180" w:lineRule="exact"/>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5</w:t>
            </w:r>
          </w:p>
        </w:tc>
        <w:tc>
          <w:tcPr>
            <w:tcW w:w="1111" w:type="pct"/>
            <w:shd w:val="clear" w:color="auto" w:fill="EAF1DD"/>
            <w:vAlign w:val="center"/>
          </w:tcPr>
          <w:p w14:paraId="529123A1">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Yuelu Mountain S&amp;T City Science and Technology Achievement Transformation Fund</w:t>
            </w:r>
          </w:p>
        </w:tc>
        <w:tc>
          <w:tcPr>
            <w:tcW w:w="1380" w:type="pct"/>
            <w:shd w:val="clear" w:color="auto" w:fill="EAF1DD"/>
            <w:vAlign w:val="center"/>
          </w:tcPr>
          <w:p w14:paraId="4D1FACD0">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Based on universities, research institutes, and innovative enterprises in Hunan Province and with a focus on “hard technology” innovation and cutting-edge original projects in emerging industries such as mobile internet</w:t>
            </w:r>
          </w:p>
        </w:tc>
        <w:tc>
          <w:tcPr>
            <w:tcW w:w="422" w:type="pct"/>
            <w:shd w:val="clear" w:color="auto" w:fill="EAF1DD"/>
            <w:vAlign w:val="center"/>
          </w:tcPr>
          <w:p w14:paraId="1CFF3412">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2019</w:t>
            </w:r>
          </w:p>
        </w:tc>
        <w:tc>
          <w:tcPr>
            <w:tcW w:w="622" w:type="pct"/>
            <w:shd w:val="clear" w:color="auto" w:fill="EAF1DD"/>
            <w:vAlign w:val="center"/>
          </w:tcPr>
          <w:p w14:paraId="100C9893">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100 million</w:t>
            </w:r>
          </w:p>
        </w:tc>
        <w:tc>
          <w:tcPr>
            <w:tcW w:w="1160" w:type="pct"/>
            <w:shd w:val="clear" w:color="auto" w:fill="EAF1DD"/>
            <w:vAlign w:val="center"/>
          </w:tcPr>
          <w:p w14:paraId="0F3F2C35">
            <w:pPr>
              <w:widowControl/>
              <w:adjustRightInd w:val="0"/>
              <w:snapToGrid w:val="0"/>
              <w:spacing w:line="180" w:lineRule="exact"/>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Jointly established by Hunan Zhongying Development Industry Investment Fund Management and Changsha Yuelu Mountain National University S&amp;T City Construction Investment</w:t>
            </w:r>
          </w:p>
        </w:tc>
      </w:tr>
    </w:tbl>
    <w:p w14:paraId="4142CE71">
      <w:pPr>
        <w:snapToGrid w:val="0"/>
        <w:spacing w:beforeLines="50" w:line="360" w:lineRule="exact"/>
        <w:ind w:firstLine="442" w:firstLineChars="200"/>
        <w:outlineLvl w:val="2"/>
        <w:rPr>
          <w:rFonts w:ascii="Times New Roman" w:hAnsi="Times New Roman" w:eastAsia="黑体" w:cs="Times New Roman"/>
          <w:b/>
          <w:sz w:val="22"/>
        </w:rPr>
      </w:pPr>
      <w:bookmarkStart w:id="221" w:name="_Toc163910374"/>
      <w:r>
        <w:rPr>
          <w:rFonts w:ascii="Times New Roman" w:hAnsi="Times New Roman" w:eastAsia="黑体" w:cs="Times New Roman"/>
          <w:b/>
          <w:sz w:val="22"/>
        </w:rPr>
        <w:t xml:space="preserve">(4) Investment </w:t>
      </w:r>
      <w:r>
        <w:rPr>
          <w:rFonts w:ascii="Times New Roman" w:hAnsi="Times New Roman" w:eastAsia="黑体" w:cs="Times New Roman"/>
          <w:b/>
          <w:sz w:val="22"/>
          <w:szCs w:val="24"/>
        </w:rPr>
        <w:t>O</w:t>
      </w:r>
      <w:r>
        <w:rPr>
          <w:rFonts w:hint="eastAsia" w:ascii="Times New Roman" w:hAnsi="Times New Roman" w:eastAsia="黑体" w:cs="Times New Roman"/>
          <w:b/>
          <w:sz w:val="22"/>
          <w:szCs w:val="24"/>
        </w:rPr>
        <w:t>rientation</w:t>
      </w:r>
      <w:r>
        <w:rPr>
          <w:rFonts w:ascii="Times New Roman" w:hAnsi="Times New Roman" w:eastAsia="黑体" w:cs="Times New Roman"/>
          <w:b/>
          <w:sz w:val="22"/>
        </w:rPr>
        <w:t xml:space="preserve"> and Industrial Layout</w:t>
      </w:r>
      <w:bookmarkEnd w:id="221"/>
    </w:p>
    <w:p w14:paraId="6E33D75D">
      <w:pPr>
        <w:snapToGrid w:val="0"/>
        <w:spacing w:line="360" w:lineRule="exact"/>
        <w:ind w:firstLine="402" w:firstLineChars="200"/>
        <w:rPr>
          <w:rFonts w:ascii="Times New Roman" w:hAnsi="Times New Roman" w:eastAsia="仿宋" w:cs="Times New Roman"/>
          <w:b/>
          <w:bCs/>
          <w:sz w:val="20"/>
          <w:szCs w:val="21"/>
        </w:rPr>
      </w:pPr>
      <w:r>
        <w:rPr>
          <w:rFonts w:ascii="Times New Roman" w:hAnsi="Times New Roman" w:eastAsia="仿宋" w:cs="Times New Roman"/>
          <w:b/>
          <w:bCs/>
          <w:sz w:val="20"/>
          <w:szCs w:val="21"/>
        </w:rPr>
        <w:t xml:space="preserve">Quantum Measurement. </w:t>
      </w:r>
      <w:r>
        <w:rPr>
          <w:rFonts w:ascii="Times New Roman" w:hAnsi="Times New Roman" w:eastAsia="仿宋" w:cs="Times New Roman"/>
          <w:sz w:val="20"/>
          <w:szCs w:val="21"/>
        </w:rPr>
        <w:t>Based on Changsha</w:t>
      </w:r>
      <w:r>
        <w:rPr>
          <w:rFonts w:ascii="Times New Roman" w:hAnsi="Times New Roman" w:eastAsia="仿宋" w:cs="Times New Roman"/>
          <w:b/>
          <w:bCs/>
          <w:sz w:val="20"/>
          <w:szCs w:val="21"/>
        </w:rPr>
        <w:t xml:space="preserve">, </w:t>
      </w:r>
      <w:r>
        <w:rPr>
          <w:rFonts w:ascii="Times New Roman" w:hAnsi="Times New Roman" w:eastAsia="仿宋" w:cs="Times New Roman"/>
          <w:bCs/>
          <w:sz w:val="20"/>
          <w:szCs w:val="21"/>
        </w:rPr>
        <w:t>we focus on quantum precision measurement technologies such as quantum state control, quantum lasers, and optical quantum detectors, as well as quantum precision measurement sensors, quantum precision detection equipment, quantum clocks, quantum magnetometers, quantum radar, quantum gravimeters, quantum gyroscopes, quantum accelerometers, and other typical product research and development enterprises as well as industrial application enterprises in the fields of petroleum exploration, engineering exploration, earthquake prevention and disaster reduction, and smart cities, etc.</w:t>
      </w:r>
    </w:p>
    <w:p w14:paraId="24DDA3D3">
      <w:pPr>
        <w:snapToGrid w:val="0"/>
        <w:spacing w:line="360" w:lineRule="exact"/>
        <w:ind w:firstLine="402" w:firstLineChars="200"/>
        <w:rPr>
          <w:rFonts w:ascii="Times New Roman" w:hAnsi="Times New Roman" w:eastAsia="仿宋" w:cs="Times New Roman"/>
          <w:bCs/>
          <w:sz w:val="20"/>
          <w:szCs w:val="21"/>
        </w:rPr>
      </w:pPr>
      <w:r>
        <w:rPr>
          <w:rFonts w:ascii="Times New Roman" w:hAnsi="Times New Roman" w:eastAsia="仿宋" w:cs="Times New Roman"/>
          <w:b/>
          <w:bCs/>
          <w:sz w:val="20"/>
          <w:szCs w:val="21"/>
        </w:rPr>
        <w:t xml:space="preserve">Quantum Computing. </w:t>
      </w:r>
      <w:r>
        <w:rPr>
          <w:rFonts w:ascii="Times New Roman" w:hAnsi="Times New Roman" w:eastAsia="仿宋" w:cs="Times New Roman"/>
          <w:sz w:val="20"/>
          <w:szCs w:val="21"/>
        </w:rPr>
        <w:t>Based on Changsha</w:t>
      </w:r>
      <w:r>
        <w:rPr>
          <w:rFonts w:ascii="Times New Roman" w:hAnsi="Times New Roman" w:eastAsia="仿宋" w:cs="Times New Roman"/>
          <w:b/>
          <w:bCs/>
          <w:sz w:val="20"/>
          <w:szCs w:val="21"/>
        </w:rPr>
        <w:t xml:space="preserve">, </w:t>
      </w:r>
      <w:r>
        <w:rPr>
          <w:rFonts w:ascii="Times New Roman" w:hAnsi="Times New Roman" w:eastAsia="仿宋" w:cs="Times New Roman"/>
          <w:bCs/>
          <w:sz w:val="20"/>
          <w:szCs w:val="21"/>
        </w:rPr>
        <w:t>we focus on attracting basic theory and cutting-edge technology product research and development enterprises in the fields such as light quantum, topological superconducting quantum computing, quantum perception, quantum chips, quantum programming, quantum machine learning, quantum computers and quantum simulations, quantum software and control systems, and quantum transistors, as well as industrial application companies of quantum technology in advanced computing, intelligent manufacturing, finance, and other fields, promote the development of research results in the fields of quantum computing and quantum communication towards practical engineering.</w:t>
      </w:r>
    </w:p>
    <w:p w14:paraId="3EEC3E32">
      <w:pPr>
        <w:snapToGrid w:val="0"/>
        <w:spacing w:beforeLines="50"/>
        <w:jc w:val="center"/>
        <w:rPr>
          <w:rFonts w:ascii="Times New Roman" w:hAnsi="Times New Roman" w:eastAsia="仿宋" w:cs="Times New Roman"/>
          <w:sz w:val="20"/>
          <w:szCs w:val="21"/>
        </w:rPr>
      </w:pPr>
      <w:r>
        <w:drawing>
          <wp:inline distT="0" distB="0" distL="0" distR="0">
            <wp:extent cx="3568700" cy="29616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3568700" cy="2961640"/>
                    </a:xfrm>
                    <a:prstGeom prst="rect">
                      <a:avLst/>
                    </a:prstGeom>
                    <a:noFill/>
                    <a:ln>
                      <a:noFill/>
                    </a:ln>
                  </pic:spPr>
                </pic:pic>
              </a:graphicData>
            </a:graphic>
          </wp:inline>
        </w:drawing>
      </w:r>
    </w:p>
    <w:p w14:paraId="30FDC47B">
      <w:pPr>
        <w:snapToGrid w:val="0"/>
        <w:spacing w:line="360" w:lineRule="exact"/>
        <w:ind w:firstLine="402" w:firstLineChars="200"/>
        <w:rPr>
          <w:rFonts w:ascii="Times New Roman" w:hAnsi="Times New Roman" w:eastAsia="仿宋" w:cs="Times New Roman"/>
          <w:sz w:val="20"/>
          <w:szCs w:val="21"/>
        </w:rPr>
      </w:pPr>
      <w:r>
        <w:rPr>
          <w:rFonts w:ascii="Times New Roman" w:hAnsi="Times New Roman" w:eastAsia="仿宋" w:cs="Times New Roman"/>
          <w:b/>
          <w:bCs/>
          <w:sz w:val="20"/>
          <w:szCs w:val="21"/>
        </w:rPr>
        <w:t xml:space="preserve">Quantum Communication. </w:t>
      </w:r>
      <w:r>
        <w:rPr>
          <w:rFonts w:ascii="Times New Roman" w:hAnsi="Times New Roman" w:eastAsia="仿宋" w:cs="Times New Roman"/>
          <w:sz w:val="20"/>
          <w:szCs w:val="21"/>
        </w:rPr>
        <w:t>Based on Changsha</w:t>
      </w:r>
      <w:r>
        <w:rPr>
          <w:rFonts w:ascii="Times New Roman" w:hAnsi="Times New Roman" w:eastAsia="仿宋" w:cs="Times New Roman"/>
          <w:b/>
          <w:bCs/>
          <w:sz w:val="20"/>
          <w:szCs w:val="21"/>
        </w:rPr>
        <w:t xml:space="preserve">, </w:t>
      </w:r>
      <w:r>
        <w:rPr>
          <w:rFonts w:ascii="Times New Roman" w:hAnsi="Times New Roman" w:eastAsia="仿宋" w:cs="Times New Roman"/>
          <w:bCs/>
          <w:sz w:val="20"/>
          <w:szCs w:val="21"/>
        </w:rPr>
        <w:t>we focus on</w:t>
      </w:r>
      <w:r>
        <w:rPr>
          <w:rFonts w:ascii="Times New Roman" w:hAnsi="Times New Roman" w:eastAsia="仿宋" w:cs="Times New Roman"/>
          <w:sz w:val="20"/>
          <w:szCs w:val="21"/>
        </w:rPr>
        <w:t xml:space="preserve"> attracting research and development enterprises in core technologies and equipment such as quantum cryptography, quantum satellites, quantum storage, quantum key distributors, quantum routers, quantum switches, quantum random number generators, quantum lasers, photon detectors, etc.</w:t>
      </w:r>
    </w:p>
    <w:p w14:paraId="6BDC8557">
      <w:pPr>
        <w:snapToGrid w:val="0"/>
        <w:spacing w:line="360" w:lineRule="exact"/>
        <w:rPr>
          <w:rFonts w:ascii="Times New Roman" w:hAnsi="Times New Roman" w:eastAsia="仿宋" w:cs="Times New Roman"/>
          <w:sz w:val="20"/>
          <w:szCs w:val="21"/>
        </w:rPr>
        <w:sectPr>
          <w:headerReference r:id="rId34" w:type="first"/>
          <w:footerReference r:id="rId36" w:type="first"/>
          <w:headerReference r:id="rId32" w:type="default"/>
          <w:headerReference r:id="rId33" w:type="even"/>
          <w:footerReference r:id="rId35" w:type="even"/>
          <w:pgSz w:w="8391" w:h="11906"/>
          <w:pgMar w:top="1440" w:right="1080" w:bottom="1440" w:left="1080" w:header="851" w:footer="992" w:gutter="0"/>
          <w:cols w:space="425" w:num="1"/>
          <w:docGrid w:type="lines" w:linePitch="312" w:charSpace="0"/>
        </w:sectPr>
      </w:pPr>
    </w:p>
    <w:p w14:paraId="4A48E315">
      <w:pPr>
        <w:keepNext/>
        <w:snapToGrid w:val="0"/>
        <w:spacing w:afterLines="50" w:line="360" w:lineRule="exact"/>
        <w:jc w:val="center"/>
        <w:outlineLvl w:val="1"/>
        <w:rPr>
          <w:rFonts w:ascii="Times New Roman" w:hAnsi="Times New Roman" w:eastAsia="仿宋" w:cs="Times New Roman"/>
          <w:b/>
          <w:bCs/>
          <w:sz w:val="22"/>
          <w:szCs w:val="24"/>
        </w:rPr>
      </w:pPr>
      <w:bookmarkStart w:id="222" w:name="_Toc163910375"/>
      <w:r>
        <w:rPr>
          <w:rFonts w:ascii="Times New Roman" w:hAnsi="Times New Roman" w:eastAsia="仿宋" w:cs="Times New Roman"/>
          <w:b/>
          <w:bCs/>
          <w:sz w:val="22"/>
          <w:szCs w:val="24"/>
        </w:rPr>
        <w:t>16. Cutting-edge Material</w:t>
      </w:r>
      <w:bookmarkEnd w:id="222"/>
    </w:p>
    <w:p w14:paraId="5A259B33">
      <w:pPr>
        <w:snapToGrid w:val="0"/>
        <w:spacing w:line="360" w:lineRule="exact"/>
        <w:ind w:firstLine="442" w:firstLineChars="200"/>
        <w:outlineLvl w:val="2"/>
        <w:rPr>
          <w:rFonts w:ascii="Times New Roman" w:hAnsi="Times New Roman" w:eastAsia="黑体" w:cs="Times New Roman"/>
          <w:b/>
          <w:sz w:val="22"/>
        </w:rPr>
      </w:pPr>
      <w:bookmarkStart w:id="223" w:name="_Toc163910376"/>
      <w:r>
        <w:rPr>
          <w:rFonts w:ascii="Times New Roman" w:hAnsi="Times New Roman" w:eastAsia="黑体" w:cs="Times New Roman"/>
          <w:b/>
          <w:sz w:val="22"/>
        </w:rPr>
        <w:t>(1) Development Status</w:t>
      </w:r>
      <w:bookmarkEnd w:id="223"/>
    </w:p>
    <w:p w14:paraId="5FABF4BD">
      <w:pPr>
        <w:snapToGrid w:val="0"/>
        <w:spacing w:line="360" w:lineRule="exact"/>
        <w:ind w:firstLine="440" w:firstLineChars="200"/>
        <w:rPr>
          <w:rFonts w:ascii="Times New Roman" w:hAnsi="Times New Roman" w:eastAsia="仿宋" w:cs="Times New Roman"/>
          <w:sz w:val="22"/>
          <w:szCs w:val="24"/>
        </w:rPr>
      </w:pPr>
      <w:r>
        <w:rPr>
          <w:rFonts w:ascii="Times New Roman" w:hAnsi="Times New Roman" w:eastAsia="仿宋" w:cs="Times New Roman"/>
          <w:sz w:val="22"/>
          <w:szCs w:val="24"/>
        </w:rPr>
        <w:t>Cutting-edge material, representing the development direction of the new materials industry, is a pioneering and disruptive sector, leading to a new driving force. In 202</w:t>
      </w:r>
      <w:r>
        <w:rPr>
          <w:rFonts w:hint="eastAsia" w:ascii="Times New Roman" w:hAnsi="Times New Roman" w:eastAsia="仿宋" w:cs="Times New Roman"/>
          <w:sz w:val="22"/>
          <w:szCs w:val="24"/>
          <w:lang w:val="en-US" w:eastAsia="zh-CN"/>
        </w:rPr>
        <w:t>4</w:t>
      </w:r>
      <w:r>
        <w:rPr>
          <w:rFonts w:ascii="Times New Roman" w:hAnsi="Times New Roman" w:eastAsia="仿宋" w:cs="Times New Roman"/>
          <w:sz w:val="22"/>
          <w:szCs w:val="24"/>
        </w:rPr>
        <w:t>, Hunan’s new materials industry achieved an operating income of about 7</w:t>
      </w:r>
      <w:r>
        <w:rPr>
          <w:rFonts w:hint="eastAsia" w:ascii="Times New Roman" w:hAnsi="Times New Roman" w:eastAsia="仿宋" w:cs="Times New Roman"/>
          <w:sz w:val="22"/>
          <w:szCs w:val="24"/>
          <w:lang w:val="en-US" w:eastAsia="zh-CN"/>
        </w:rPr>
        <w:t>5</w:t>
      </w:r>
      <w:r>
        <w:rPr>
          <w:rFonts w:ascii="Times New Roman" w:hAnsi="Times New Roman" w:eastAsia="仿宋" w:cs="Times New Roman"/>
          <w:sz w:val="22"/>
          <w:szCs w:val="24"/>
        </w:rPr>
        <w:t xml:space="preserve">0 billion yuan, ranked steadily among the tops in the country. </w:t>
      </w:r>
    </w:p>
    <w:p w14:paraId="0059500A">
      <w:pPr>
        <w:snapToGrid w:val="0"/>
        <w:spacing w:beforeLines="50"/>
        <w:rPr>
          <w:rFonts w:ascii="Times New Roman" w:hAnsi="Times New Roman" w:eastAsia="黑体" w:cs="Times New Roman"/>
          <w:b/>
          <w:sz w:val="20"/>
          <w:szCs w:val="20"/>
        </w:rPr>
      </w:pPr>
      <w:r>
        <w:drawing>
          <wp:inline distT="0" distB="0" distL="0" distR="0">
            <wp:extent cx="3956685" cy="2697480"/>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6" cstate="print"/>
                    <a:srcRect/>
                    <a:stretch>
                      <a:fillRect/>
                    </a:stretch>
                  </pic:blipFill>
                  <pic:spPr>
                    <a:xfrm>
                      <a:off x="0" y="0"/>
                      <a:ext cx="3956685" cy="2697836"/>
                    </a:xfrm>
                    <a:prstGeom prst="rect">
                      <a:avLst/>
                    </a:prstGeom>
                    <a:noFill/>
                    <a:ln w="9525">
                      <a:noFill/>
                      <a:miter lim="800000"/>
                      <a:headEnd/>
                      <a:tailEnd/>
                    </a:ln>
                  </pic:spPr>
                </pic:pic>
              </a:graphicData>
            </a:graphic>
          </wp:inline>
        </w:drawing>
      </w:r>
    </w:p>
    <w:p w14:paraId="2A77CFEB">
      <w:pPr>
        <w:snapToGrid w:val="0"/>
        <w:spacing w:afterLines="50" w:line="360" w:lineRule="exact"/>
        <w:ind w:firstLine="360" w:firstLineChars="200"/>
        <w:jc w:val="center"/>
        <w:rPr>
          <w:rFonts w:ascii="Times New Roman" w:hAnsi="Times New Roman" w:eastAsia="仿宋" w:cs="Times New Roman"/>
          <w:sz w:val="18"/>
          <w:szCs w:val="16"/>
        </w:rPr>
      </w:pPr>
      <w:r>
        <w:rPr>
          <w:rFonts w:ascii="Times New Roman" w:hAnsi="Times New Roman" w:eastAsia="仿宋" w:cs="Times New Roman"/>
          <w:sz w:val="18"/>
          <w:szCs w:val="16"/>
        </w:rPr>
        <w:t>Leading enterprises and institutions in the cutting-edge material industry</w:t>
      </w:r>
    </w:p>
    <w:p w14:paraId="163C9C37">
      <w:pPr>
        <w:snapToGrid w:val="0"/>
        <w:spacing w:line="360" w:lineRule="exact"/>
        <w:ind w:firstLine="440" w:firstLineChars="200"/>
        <w:rPr>
          <w:rFonts w:ascii="Times New Roman" w:hAnsi="Times New Roman" w:eastAsia="仿宋" w:cs="Times New Roman"/>
          <w:sz w:val="20"/>
          <w:szCs w:val="20"/>
        </w:rPr>
      </w:pPr>
      <w:r>
        <w:rPr>
          <w:rFonts w:ascii="Times New Roman" w:hAnsi="Times New Roman" w:eastAsia="仿宋" w:cs="Times New Roman"/>
          <w:sz w:val="22"/>
          <w:szCs w:val="24"/>
        </w:rPr>
        <w:t>The province has 2,400 high-tech enterprises in the field of new materials, six national high-tech industrialization bases, and major research institutes, including Changsha Additive Manufacturing (3D printing) Industrial Technology Institute, Hunan Key Laboratory of Micro &amp; Nano Materials Interface Science, and Hunan Clinical Medical Research Center of Medical Materials and Bio-simulation.</w:t>
      </w:r>
    </w:p>
    <w:p w14:paraId="259DA939">
      <w:pPr>
        <w:snapToGrid w:val="0"/>
        <w:spacing w:line="360" w:lineRule="exact"/>
        <w:ind w:firstLine="442" w:firstLineChars="200"/>
        <w:outlineLvl w:val="2"/>
        <w:rPr>
          <w:rFonts w:ascii="Times New Roman" w:hAnsi="Times New Roman" w:eastAsia="黑体" w:cs="Times New Roman"/>
          <w:b/>
          <w:sz w:val="22"/>
        </w:rPr>
      </w:pPr>
      <w:bookmarkStart w:id="224" w:name="_Toc163910377"/>
      <w:r>
        <w:rPr>
          <w:rFonts w:ascii="Times New Roman" w:hAnsi="Times New Roman" w:eastAsia="黑体" w:cs="Times New Roman"/>
          <w:b/>
          <w:sz w:val="22"/>
        </w:rPr>
        <w:t>(2) Development Target</w:t>
      </w:r>
      <w:bookmarkEnd w:id="224"/>
    </w:p>
    <w:p w14:paraId="6F25040D">
      <w:pPr>
        <w:snapToGrid w:val="0"/>
        <w:spacing w:line="360" w:lineRule="exact"/>
        <w:ind w:firstLine="440" w:firstLineChars="200"/>
        <w:rPr>
          <w:rFonts w:ascii="Times New Roman" w:hAnsi="Times New Roman" w:eastAsia="仿宋" w:cs="Times New Roman"/>
          <w:sz w:val="22"/>
        </w:rPr>
      </w:pPr>
      <w:r>
        <w:rPr>
          <w:rFonts w:ascii="Times New Roman" w:hAnsi="Times New Roman" w:eastAsia="仿宋" w:cs="Times New Roman"/>
          <w:sz w:val="22"/>
        </w:rPr>
        <w:t>By 2027, Hunan will have built a base for cutting-edge petrochemical materials, metals, and non-metallic materials with national influence.</w:t>
      </w:r>
    </w:p>
    <w:p w14:paraId="26E64025">
      <w:pPr>
        <w:snapToGrid w:val="0"/>
        <w:spacing w:line="360" w:lineRule="exact"/>
        <w:ind w:firstLine="442" w:firstLineChars="200"/>
        <w:outlineLvl w:val="2"/>
        <w:rPr>
          <w:rFonts w:ascii="Times New Roman" w:hAnsi="Times New Roman" w:eastAsia="黑体" w:cs="Times New Roman"/>
          <w:b/>
          <w:sz w:val="22"/>
        </w:rPr>
      </w:pPr>
      <w:bookmarkStart w:id="225" w:name="_Toc163910378"/>
      <w:r>
        <w:rPr>
          <w:rFonts w:ascii="Times New Roman" w:hAnsi="Times New Roman" w:eastAsia="黑体" w:cs="Times New Roman"/>
          <w:b/>
          <w:sz w:val="22"/>
        </w:rPr>
        <w:t>(3) Policy Support</w:t>
      </w:r>
      <w:bookmarkEnd w:id="225"/>
    </w:p>
    <w:p w14:paraId="4E7F747C">
      <w:pPr>
        <w:pStyle w:val="85"/>
        <w:numPr>
          <w:ilvl w:val="0"/>
          <w:numId w:val="3"/>
        </w:numPr>
        <w:spacing w:line="340" w:lineRule="exact"/>
        <w:ind w:left="426" w:hanging="142" w:firstLineChars="0"/>
        <w:rPr>
          <w:i/>
          <w:iCs/>
        </w:rPr>
      </w:pPr>
      <w:r>
        <w:rPr>
          <w:i/>
          <w:iCs/>
        </w:rPr>
        <w:t>Guide for the First Key New Materials Products in Hunan Province (2023)</w:t>
      </w:r>
    </w:p>
    <w:p w14:paraId="37E63A59">
      <w:pPr>
        <w:pStyle w:val="85"/>
        <w:numPr>
          <w:ilvl w:val="0"/>
          <w:numId w:val="3"/>
        </w:numPr>
        <w:spacing w:line="340" w:lineRule="exact"/>
        <w:ind w:left="426" w:hanging="142" w:firstLineChars="0"/>
        <w:rPr>
          <w:i/>
          <w:iCs/>
        </w:rPr>
      </w:pPr>
      <w:r>
        <w:rPr>
          <w:i/>
          <w:iCs/>
        </w:rPr>
        <w:t>14th Five-Year Plan for the Petrochemical Industry in Hunan Province</w:t>
      </w:r>
    </w:p>
    <w:p w14:paraId="56A75911">
      <w:pPr>
        <w:pStyle w:val="85"/>
        <w:numPr>
          <w:ilvl w:val="0"/>
          <w:numId w:val="3"/>
        </w:numPr>
        <w:spacing w:line="340" w:lineRule="exact"/>
        <w:ind w:left="426" w:hanging="142" w:firstLineChars="0"/>
        <w:rPr>
          <w:i/>
          <w:iCs/>
        </w:rPr>
      </w:pPr>
      <w:r>
        <w:rPr>
          <w:i/>
          <w:iCs/>
        </w:rPr>
        <w:t>14th Five-Year Plan for the Development of the Metallurgical Industry in Hunan Province</w:t>
      </w:r>
    </w:p>
    <w:p w14:paraId="6E12335B">
      <w:pPr>
        <w:pStyle w:val="85"/>
        <w:numPr>
          <w:ilvl w:val="0"/>
          <w:numId w:val="3"/>
        </w:numPr>
        <w:spacing w:line="340" w:lineRule="exact"/>
        <w:ind w:left="426" w:hanging="142" w:firstLineChars="0"/>
        <w:rPr>
          <w:i/>
          <w:iCs/>
        </w:rPr>
      </w:pPr>
      <w:r>
        <w:rPr>
          <w:i/>
          <w:iCs/>
        </w:rPr>
        <w:t>14th Five-Year Plan for the Development of the Non-ferrous Metals Industry in Hunan Province</w:t>
      </w:r>
    </w:p>
    <w:p w14:paraId="3BE71C8C">
      <w:pPr>
        <w:pStyle w:val="85"/>
        <w:numPr>
          <w:ilvl w:val="0"/>
          <w:numId w:val="3"/>
        </w:numPr>
        <w:spacing w:line="340" w:lineRule="exact"/>
        <w:ind w:left="426" w:hanging="142" w:firstLineChars="0"/>
        <w:rPr>
          <w:i/>
          <w:iCs/>
        </w:rPr>
      </w:pPr>
      <w:r>
        <w:rPr>
          <w:i/>
          <w:iCs/>
        </w:rPr>
        <w:t>14th Five-Year Plan for the New Material Industry in Hunan Province</w:t>
      </w:r>
    </w:p>
    <w:p w14:paraId="17B01610">
      <w:pPr>
        <w:pStyle w:val="85"/>
        <w:numPr>
          <w:ilvl w:val="0"/>
          <w:numId w:val="3"/>
        </w:numPr>
        <w:spacing w:line="340" w:lineRule="exact"/>
        <w:ind w:left="426" w:hanging="142" w:firstLineChars="0"/>
        <w:rPr>
          <w:i/>
          <w:iCs/>
        </w:rPr>
      </w:pPr>
      <w:r>
        <w:rPr>
          <w:rFonts w:cs="仿宋_GB2312"/>
        </w:rPr>
        <mc:AlternateContent>
          <mc:Choice Requires="wps">
            <w:drawing>
              <wp:anchor distT="0" distB="0" distL="114300" distR="114300" simplePos="0" relativeHeight="251694080" behindDoc="0" locked="0" layoutInCell="1" allowOverlap="1">
                <wp:simplePos x="0" y="0"/>
                <wp:positionH relativeFrom="margin">
                  <wp:posOffset>3063875</wp:posOffset>
                </wp:positionH>
                <wp:positionV relativeFrom="margin">
                  <wp:posOffset>4482465</wp:posOffset>
                </wp:positionV>
                <wp:extent cx="914400" cy="962025"/>
                <wp:effectExtent l="6350" t="6350" r="8890" b="6985"/>
                <wp:wrapSquare wrapText="bothSides"/>
                <wp:docPr id="55" name="文本框 35"/>
                <wp:cNvGraphicFramePr/>
                <a:graphic xmlns:a="http://schemas.openxmlformats.org/drawingml/2006/main">
                  <a:graphicData uri="http://schemas.microsoft.com/office/word/2010/wordprocessingShape">
                    <wps:wsp>
                      <wps:cNvSpPr txBox="1"/>
                      <wps:spPr>
                        <a:xfrm>
                          <a:off x="0" y="0"/>
                          <a:ext cx="914400" cy="962025"/>
                        </a:xfrm>
                        <a:prstGeom prst="rect">
                          <a:avLst/>
                        </a:prstGeom>
                        <a:noFill/>
                        <a:ln w="12700" cap="flat" cmpd="sng">
                          <a:solidFill>
                            <a:srgbClr val="A8D08D"/>
                          </a:solidFill>
                          <a:prstDash val="solid"/>
                          <a:miter/>
                          <a:headEnd type="none" w="med" len="med"/>
                          <a:tailEnd type="none" w="med" len="med"/>
                        </a:ln>
                      </wps:spPr>
                      <wps:txbx>
                        <w:txbxContent>
                          <w:p w14:paraId="0CA9E035">
                            <w:pPr>
                              <w:pStyle w:val="92"/>
                              <w:adjustRightInd w:val="0"/>
                            </w:pPr>
                            <w:r>
                              <w:drawing>
                                <wp:inline distT="0" distB="0" distL="0" distR="0">
                                  <wp:extent cx="722630" cy="722630"/>
                                  <wp:effectExtent l="0" t="0" r="1270" b="127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87">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1AB0C797">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12AF0120">
                            <w:pPr>
                              <w:pStyle w:val="92"/>
                              <w:adjustRightInd w:val="0"/>
                            </w:pPr>
                          </w:p>
                        </w:txbxContent>
                      </wps:txbx>
                      <wps:bodyPr upright="1"/>
                    </wps:wsp>
                  </a:graphicData>
                </a:graphic>
              </wp:anchor>
            </w:drawing>
          </mc:Choice>
          <mc:Fallback>
            <w:pict>
              <v:shape id="文本框 35" o:spid="_x0000_s1026" o:spt="202" type="#_x0000_t202" style="position:absolute;left:0pt;margin-left:241.25pt;margin-top:352.95pt;height:75.75pt;width:72pt;mso-position-horizontal-relative:margin;mso-position-vertical-relative:margin;mso-wrap-distance-bottom:0pt;mso-wrap-distance-left:9pt;mso-wrap-distance-right:9pt;mso-wrap-distance-top:0pt;z-index:251694080;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">
                <v:fill on="f" focussize="0,0"/>
                <v:stroke weight="1pt" color="#A8D08D" joinstyle="miter"/>
                <v:imagedata o:title=""/>
                <o:lock v:ext="edit" aspectratio="f"/>
                <v:textbox>
                  <w:txbxContent>
                    <w:p w14:paraId="0CA9E035">
                      <w:pPr>
                        <w:pStyle w:val="92"/>
                        <w:adjustRightInd w:val="0"/>
                      </w:pPr>
                      <w:r>
                        <w:drawing>
                          <wp:inline distT="0" distB="0" distL="0" distR="0">
                            <wp:extent cx="722630" cy="722630"/>
                            <wp:effectExtent l="0" t="0" r="1270" b="127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87">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630" cy="722630"/>
                                    </a:xfrm>
                                    <a:prstGeom prst="rect">
                                      <a:avLst/>
                                    </a:prstGeom>
                                  </pic:spPr>
                                </pic:pic>
                              </a:graphicData>
                            </a:graphic>
                          </wp:inline>
                        </w:drawing>
                      </w:r>
                    </w:p>
                    <w:p w14:paraId="1AB0C797">
                      <w:pPr>
                        <w:pStyle w:val="92"/>
                        <w:adjustRightInd w:val="0"/>
                        <w:ind w:left="-105" w:leftChars="-50" w:right="-105" w:rightChars="-50"/>
                        <w:rPr>
                          <w:color w:val="585858" w:themeColor="text1" w:themeTint="A6"/>
                          <w:sz w:val="18"/>
                        </w:rPr>
                      </w:pPr>
                      <w:r>
                        <w:rPr>
                          <w:rFonts w:ascii="Arial" w:hAnsi="Arial" w:cs="Arial"/>
                          <w:color w:val="595959"/>
                          <w:sz w:val="13"/>
                        </w:rPr>
                        <w:t>Policy Compendium</w:t>
                      </w:r>
                    </w:p>
                    <w:p w14:paraId="12AF0120">
                      <w:pPr>
                        <w:pStyle w:val="92"/>
                        <w:adjustRightInd w:val="0"/>
                      </w:pPr>
                    </w:p>
                  </w:txbxContent>
                </v:textbox>
                <w10:wrap type="square"/>
              </v:shape>
            </w:pict>
          </mc:Fallback>
        </mc:AlternateContent>
      </w:r>
      <w:r>
        <w:rPr>
          <w:i/>
          <w:iCs/>
        </w:rPr>
        <w:t>Five-Year Action Plan for New Chemical Materials Industry Chain in Hunan Province (2021-2025)</w:t>
      </w:r>
    </w:p>
    <w:p w14:paraId="60A35FBE">
      <w:pPr>
        <w:pStyle w:val="85"/>
        <w:numPr>
          <w:ilvl w:val="0"/>
          <w:numId w:val="3"/>
        </w:numPr>
        <w:spacing w:line="340" w:lineRule="exact"/>
        <w:ind w:left="426" w:hanging="142" w:firstLineChars="0"/>
        <w:rPr>
          <w:i/>
          <w:iCs/>
        </w:rPr>
      </w:pPr>
      <w:r>
        <w:rPr>
          <w:i/>
          <w:iCs/>
        </w:rPr>
        <w:t>Implementation Program for the Pilot-Scale Testing Platforms (Bases) for New Materials in Hunan Province</w:t>
      </w:r>
    </w:p>
    <w:p w14:paraId="5134DAB1">
      <w:pPr>
        <w:pStyle w:val="85"/>
        <w:numPr>
          <w:ilvl w:val="0"/>
          <w:numId w:val="3"/>
        </w:numPr>
        <w:spacing w:line="340" w:lineRule="exact"/>
        <w:ind w:left="426" w:hanging="142" w:firstLineChars="0"/>
        <w:rPr>
          <w:i/>
          <w:iCs/>
        </w:rPr>
      </w:pPr>
      <w:r>
        <w:rPr>
          <w:i/>
          <w:iCs/>
        </w:rPr>
        <w:t>Administrative Measures for the Accreditation of Pilot-Scale Testing Platforms (Bases) for New Materials in Hunan Province</w:t>
      </w:r>
    </w:p>
    <w:p w14:paraId="04182448">
      <w:pPr>
        <w:pStyle w:val="85"/>
        <w:numPr>
          <w:ilvl w:val="0"/>
          <w:numId w:val="3"/>
        </w:numPr>
        <w:spacing w:line="340" w:lineRule="exact"/>
        <w:ind w:left="426" w:hanging="142" w:firstLineChars="0"/>
        <w:rPr>
          <w:i/>
          <w:iCs/>
        </w:rPr>
      </w:pPr>
      <w:r>
        <w:rPr>
          <w:i/>
          <w:iCs/>
        </w:rPr>
        <w:t>Policy Measures to Support the High-Quality Development of Advanced Ceramic Material Industry Cluster</w:t>
      </w:r>
    </w:p>
    <w:p w14:paraId="2CB75643">
      <w:pPr>
        <w:rPr>
          <w:i/>
          <w:iCs/>
        </w:rPr>
      </w:pPr>
      <w:r>
        <w:rPr>
          <w:iCs/>
        </w:rPr>
        <mc:AlternateContent>
          <mc:Choice Requires="wps">
            <w:drawing>
              <wp:anchor distT="0" distB="0" distL="114300" distR="114300" simplePos="0" relativeHeight="251678720" behindDoc="0" locked="0" layoutInCell="1" allowOverlap="1">
                <wp:simplePos x="0" y="0"/>
                <wp:positionH relativeFrom="column">
                  <wp:posOffset>-66675</wp:posOffset>
                </wp:positionH>
                <wp:positionV relativeFrom="paragraph">
                  <wp:posOffset>105410</wp:posOffset>
                </wp:positionV>
                <wp:extent cx="4093845" cy="3104515"/>
                <wp:effectExtent l="6350" t="95250" r="14605" b="15875"/>
                <wp:wrapNone/>
                <wp:docPr id="40" name="矩形标注 49"/>
                <wp:cNvGraphicFramePr/>
                <a:graphic xmlns:a="http://schemas.openxmlformats.org/drawingml/2006/main">
                  <a:graphicData uri="http://schemas.microsoft.com/office/word/2010/wordprocessingShape">
                    <wps:wsp>
                      <wps:cNvSpPr/>
                      <wps:spPr>
                        <a:xfrm>
                          <a:off x="0" y="0"/>
                          <a:ext cx="4093845" cy="3104515"/>
                        </a:xfrm>
                        <a:prstGeom prst="wedgeRectCallout">
                          <a:avLst>
                            <a:gd name="adj1" fmla="val -38523"/>
                            <a:gd name="adj2" fmla="val -52782"/>
                          </a:avLst>
                        </a:prstGeom>
                        <a:solidFill>
                          <a:srgbClr val="E2EFD9"/>
                        </a:solidFill>
                        <a:ln w="12700" cap="flat" cmpd="sng">
                          <a:solidFill>
                            <a:srgbClr val="A8D08D"/>
                          </a:solidFill>
                          <a:prstDash val="solid"/>
                          <a:miter/>
                          <a:headEnd type="none" w="med" len="med"/>
                          <a:tailEnd type="none" w="med" len="med"/>
                        </a:ln>
                      </wps:spPr>
                      <wps:txbx>
                        <w:txbxContent>
                          <w:p w14:paraId="14DF5800">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596FCF0D">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Enhancing support for high-quality enterprises. </w:t>
                            </w:r>
                            <w:r>
                              <w:rPr>
                                <w:rFonts w:ascii="Times New Roman" w:hAnsi="Times New Roman" w:cs="Times New Roman"/>
                                <w:color w:val="3F3F3F" w:themeColor="text1" w:themeTint="BF"/>
                                <w:sz w:val="18"/>
                                <w:szCs w:val="18"/>
                              </w:rPr>
                              <w:t>Companies that are first-time qualifiers for “the Top 100 Hunan manufacturers” and have seen increases of over 10% in both their operating income and economic contributions will receive rewards of up to 5 million yuan. We will also support leading companies in accelerating their IPO process, facilitating eligible enterprises to enter the pre-listing guidance phase as early as possible, and granting 2 million yuan in subsidy support to those who have already gone through guidance and acceptance by Hunan Securities Regulatory Bureau, with an additional reward of 1 million yuan for companies listed on the Sci-Tech Innovation Board.</w:t>
                            </w:r>
                          </w:p>
                          <w:p w14:paraId="574BB5D8">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Improving the technological innovation system. </w:t>
                            </w:r>
                            <w:r>
                              <w:rPr>
                                <w:rFonts w:ascii="Times New Roman" w:hAnsi="Times New Roman" w:cs="Times New Roman"/>
                                <w:color w:val="3F3F3F" w:themeColor="text1" w:themeTint="BF"/>
                                <w:sz w:val="18"/>
                                <w:szCs w:val="18"/>
                              </w:rPr>
                              <w:t>Platforms that are newly established and put into operation will receive subsidies of up to 20% of their fixed asset investment in platform construction (up to 5 million yuan), based on their technological level and service provision. Additionally, platforms newly accredited with national-level qualifications will receive an additional reward of 5 million yuan. Newly approved national key laboratories and technology innovation centers will be supported with 5 million yuan each.</w:t>
                            </w:r>
                          </w:p>
                          <w:p w14:paraId="6C74BDEF">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Consolidating industry talent support. </w:t>
                            </w:r>
                            <w:r>
                              <w:rPr>
                                <w:rFonts w:ascii="Times New Roman" w:hAnsi="Times New Roman" w:cs="Times New Roman"/>
                                <w:color w:val="3F3F3F" w:themeColor="text1" w:themeTint="BF"/>
                                <w:sz w:val="18"/>
                                <w:szCs w:val="18"/>
                              </w:rPr>
                              <w:t>Schools and enterprises with outstanding achievements in the integration of production and education in advanced ceramics will each receive rewards of up to 5 million yuan. Hunan-based universities offering majors related to advanced ceramics that are in urgent need can receive rewards of up to 1 million yuan, based on factors such as enrollment plans and faculty qualifications.</w:t>
                            </w:r>
                          </w:p>
                        </w:txbxContent>
                      </wps:txbx>
                      <wps:bodyPr anchor="ctr" anchorCtr="0" upright="1"/>
                    </wps:wsp>
                  </a:graphicData>
                </a:graphic>
              </wp:anchor>
            </w:drawing>
          </mc:Choice>
          <mc:Fallback>
            <w:pict>
              <v:shape id="矩形标注 49" o:spid="_x0000_s1026" o:spt="61" type="#_x0000_t61" style="position:absolute;left:0pt;margin-left:-5.25pt;margin-top:8.3pt;height:244.45pt;width:322.35pt;z-index:251678720;v-text-anchor:middle;mso-width-relative:margin;mso-height-relative:margin;" fillcolor="#E2EFD9"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" adj="2479,-601">
                <v:fill on="t" focussize="0,0"/>
                <v:stroke weight="1pt" color="#A8D08D" joinstyle="miter"/>
                <v:imagedata o:title=""/>
                <o:lock v:ext="edit" aspectratio="f"/>
                <v:textbox>
                  <w:txbxContent>
                    <w:p w14:paraId="14DF5800">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Highlight:</w:t>
                      </w:r>
                    </w:p>
                    <w:p w14:paraId="596FCF0D">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Enhancing support for high-quality enterprises. </w:t>
                      </w:r>
                      <w:r>
                        <w:rPr>
                          <w:rFonts w:ascii="Times New Roman" w:hAnsi="Times New Roman" w:cs="Times New Roman"/>
                          <w:color w:val="3F3F3F" w:themeColor="text1" w:themeTint="BF"/>
                          <w:sz w:val="18"/>
                          <w:szCs w:val="18"/>
                        </w:rPr>
                        <w:t>Companies that are first-time qualifiers for “the Top 100 Hunan manufacturers” and have seen increases of over 10% in both their operating income and economic contributions will receive rewards of up to 5 million yuan. We will also support leading companies in accelerating their IPO process, facilitating eligible enterprises to enter the pre-listing guidance phase as early as possible, and granting 2 million yuan in subsidy support to those who have already gone through guidance and acceptance by Hunan Securities Regulatory Bureau, with an additional reward of 1 million yuan for companies listed on the Sci-Tech Innovation Board.</w:t>
                      </w:r>
                    </w:p>
                    <w:p w14:paraId="574BB5D8">
                      <w:pPr>
                        <w:snapToGrid w:val="0"/>
                        <w:rPr>
                          <w:rFonts w:ascii="Times New Roman" w:hAnsi="Times New Roman" w:cs="Times New Roman"/>
                          <w:b/>
                          <w:color w:val="3F3F3F" w:themeColor="text1" w:themeTint="BF"/>
                          <w:sz w:val="18"/>
                          <w:szCs w:val="18"/>
                        </w:rPr>
                      </w:pPr>
                      <w:r>
                        <w:rPr>
                          <w:rFonts w:ascii="Times New Roman" w:hAnsi="Times New Roman" w:cs="Times New Roman"/>
                          <w:b/>
                          <w:color w:val="3F3F3F" w:themeColor="text1" w:themeTint="BF"/>
                          <w:sz w:val="18"/>
                          <w:szCs w:val="18"/>
                        </w:rPr>
                        <w:t xml:space="preserve">Improving the technological innovation system. </w:t>
                      </w:r>
                      <w:r>
                        <w:rPr>
                          <w:rFonts w:ascii="Times New Roman" w:hAnsi="Times New Roman" w:cs="Times New Roman"/>
                          <w:color w:val="3F3F3F" w:themeColor="text1" w:themeTint="BF"/>
                          <w:sz w:val="18"/>
                          <w:szCs w:val="18"/>
                        </w:rPr>
                        <w:t>Platforms that are newly established and put into operation will receive subsidies of up to 20% of their fixed asset investment in platform construction (up to 5 million yuan), based on their technological level and service provision. Additionally, platforms newly accredited with national-level qualifications will receive an additional reward of 5 million yuan. Newly approved national key laboratories and technology innovation centers will be supported with 5 million yuan each.</w:t>
                      </w:r>
                    </w:p>
                    <w:p w14:paraId="6C74BDEF">
                      <w:pPr>
                        <w:snapToGrid w:val="0"/>
                        <w:rPr>
                          <w:rFonts w:ascii="Times New Roman" w:hAnsi="Times New Roman" w:cs="Times New Roman"/>
                          <w:color w:val="3F3F3F" w:themeColor="text1" w:themeTint="BF"/>
                          <w:sz w:val="18"/>
                          <w:szCs w:val="18"/>
                        </w:rPr>
                      </w:pPr>
                      <w:r>
                        <w:rPr>
                          <w:rFonts w:ascii="Times New Roman" w:hAnsi="Times New Roman" w:cs="Times New Roman"/>
                          <w:b/>
                          <w:color w:val="3F3F3F" w:themeColor="text1" w:themeTint="BF"/>
                          <w:sz w:val="18"/>
                          <w:szCs w:val="18"/>
                        </w:rPr>
                        <w:t xml:space="preserve">Consolidating industry talent support. </w:t>
                      </w:r>
                      <w:r>
                        <w:rPr>
                          <w:rFonts w:ascii="Times New Roman" w:hAnsi="Times New Roman" w:cs="Times New Roman"/>
                          <w:color w:val="3F3F3F" w:themeColor="text1" w:themeTint="BF"/>
                          <w:sz w:val="18"/>
                          <w:szCs w:val="18"/>
                        </w:rPr>
                        <w:t>Schools and enterprises with outstanding achievements in the integration of production and education in advanced ceramics will each receive rewards of up to 5 million yuan. Hunan-based universities offering majors related to advanced ceramics that are in urgent need can receive rewards of up to 1 million yuan, based on factors such as enrollment plans and faculty qualifications.</w:t>
                      </w:r>
                    </w:p>
                  </w:txbxContent>
                </v:textbox>
              </v:shape>
            </w:pict>
          </mc:Fallback>
        </mc:AlternateContent>
      </w:r>
    </w:p>
    <w:p w14:paraId="6BEE935A">
      <w:pPr>
        <w:rPr>
          <w:i/>
          <w:iCs/>
        </w:rPr>
      </w:pPr>
    </w:p>
    <w:p w14:paraId="32601798">
      <w:pPr>
        <w:rPr>
          <w:i/>
          <w:iCs/>
        </w:rPr>
      </w:pPr>
    </w:p>
    <w:p w14:paraId="2CC93E8D">
      <w:pPr>
        <w:rPr>
          <w:i/>
          <w:iCs/>
        </w:rPr>
      </w:pPr>
    </w:p>
    <w:p w14:paraId="4F54A62A">
      <w:pPr>
        <w:rPr>
          <w:i/>
          <w:iCs/>
        </w:rPr>
      </w:pPr>
    </w:p>
    <w:p w14:paraId="1154727E">
      <w:pPr>
        <w:rPr>
          <w:i/>
          <w:iCs/>
        </w:rPr>
      </w:pPr>
    </w:p>
    <w:p w14:paraId="44D0708C">
      <w:pPr>
        <w:rPr>
          <w:i/>
          <w:iCs/>
        </w:rPr>
      </w:pPr>
    </w:p>
    <w:p w14:paraId="58D09EBC">
      <w:pPr>
        <w:rPr>
          <w:i/>
          <w:iCs/>
        </w:rPr>
      </w:pPr>
    </w:p>
    <w:p w14:paraId="7EC2B57D">
      <w:pPr>
        <w:rPr>
          <w:i/>
          <w:iCs/>
        </w:rPr>
      </w:pPr>
    </w:p>
    <w:p w14:paraId="150C3606">
      <w:pPr>
        <w:rPr>
          <w:i/>
          <w:iCs/>
        </w:rPr>
      </w:pPr>
    </w:p>
    <w:p w14:paraId="0CC63E58">
      <w:pPr>
        <w:rPr>
          <w:i/>
          <w:iCs/>
        </w:rPr>
      </w:pPr>
    </w:p>
    <w:p w14:paraId="714BC231">
      <w:pPr>
        <w:rPr>
          <w:i/>
          <w:iCs/>
        </w:rPr>
      </w:pPr>
    </w:p>
    <w:p w14:paraId="5D4E0ECD">
      <w:pPr>
        <w:rPr>
          <w:i/>
          <w:iCs/>
        </w:rPr>
      </w:pPr>
    </w:p>
    <w:p w14:paraId="6FB846B2">
      <w:pPr>
        <w:snapToGrid w:val="0"/>
        <w:spacing w:beforeLines="50" w:line="360" w:lineRule="exact"/>
        <w:jc w:val="center"/>
        <w:rPr>
          <w:rFonts w:ascii="Times New Roman" w:hAnsi="Times New Roman" w:eastAsia="仿宋" w:cs="Times New Roman"/>
          <w:sz w:val="18"/>
          <w:szCs w:val="18"/>
        </w:rPr>
      </w:pPr>
      <w:r>
        <w:rPr>
          <w:rFonts w:ascii="Times New Roman" w:hAnsi="Times New Roman" w:eastAsia="仿宋" w:cs="Times New Roman"/>
          <w:sz w:val="18"/>
          <w:szCs w:val="18"/>
        </w:rPr>
        <w:t>Funds supporting cutting-edge material industry</w:t>
      </w:r>
    </w:p>
    <w:tbl>
      <w:tblPr>
        <w:tblStyle w:val="136"/>
        <w:tblW w:w="0" w:type="auto"/>
        <w:tblInd w:w="0" w:type="dxa"/>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Layout w:type="autofit"/>
        <w:tblCellMar>
          <w:top w:w="0" w:type="dxa"/>
          <w:left w:w="108" w:type="dxa"/>
          <w:bottom w:w="0" w:type="dxa"/>
          <w:right w:w="108" w:type="dxa"/>
        </w:tblCellMar>
      </w:tblPr>
      <w:tblGrid>
        <w:gridCol w:w="272"/>
        <w:gridCol w:w="1415"/>
        <w:gridCol w:w="1917"/>
        <w:gridCol w:w="429"/>
        <w:gridCol w:w="601"/>
        <w:gridCol w:w="1813"/>
      </w:tblGrid>
      <w:tr w14:paraId="6B2029C1">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blHeader/>
        </w:trPr>
        <w:tc>
          <w:tcPr>
            <w:tcW w:w="0" w:type="auto"/>
            <w:vAlign w:val="center"/>
          </w:tcPr>
          <w:p w14:paraId="2F66E593">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仿宋" w:cs="Times New Roman"/>
                <w:b/>
                <w:bCs/>
                <w:kern w:val="0"/>
                <w:sz w:val="18"/>
                <w:szCs w:val="18"/>
              </w:rPr>
              <w:t>No.</w:t>
            </w:r>
          </w:p>
        </w:tc>
        <w:tc>
          <w:tcPr>
            <w:tcW w:w="0" w:type="auto"/>
            <w:vAlign w:val="center"/>
          </w:tcPr>
          <w:p w14:paraId="5464E6A7">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仿宋" w:cs="Times New Roman"/>
                <w:b/>
                <w:bCs/>
                <w:kern w:val="0"/>
                <w:sz w:val="18"/>
                <w:szCs w:val="18"/>
              </w:rPr>
              <w:t>Fund</w:t>
            </w:r>
          </w:p>
        </w:tc>
        <w:tc>
          <w:tcPr>
            <w:tcW w:w="0" w:type="auto"/>
            <w:vAlign w:val="center"/>
          </w:tcPr>
          <w:p w14:paraId="1689A49D">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仿宋" w:cs="Times New Roman"/>
                <w:b/>
                <w:bCs/>
                <w:kern w:val="0"/>
                <w:sz w:val="18"/>
                <w:szCs w:val="18"/>
              </w:rPr>
              <w:t>Sector</w:t>
            </w:r>
          </w:p>
        </w:tc>
        <w:tc>
          <w:tcPr>
            <w:tcW w:w="0" w:type="auto"/>
            <w:vAlign w:val="center"/>
          </w:tcPr>
          <w:p w14:paraId="20035508">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仿宋" w:cs="Times New Roman"/>
                <w:b/>
                <w:bCs/>
                <w:kern w:val="0"/>
                <w:sz w:val="18"/>
                <w:szCs w:val="18"/>
              </w:rPr>
              <w:t>Est. Time</w:t>
            </w:r>
          </w:p>
        </w:tc>
        <w:tc>
          <w:tcPr>
            <w:tcW w:w="0" w:type="auto"/>
            <w:vAlign w:val="center"/>
          </w:tcPr>
          <w:p w14:paraId="6692790E">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仿宋" w:cs="Times New Roman"/>
                <w:b/>
                <w:bCs/>
                <w:kern w:val="0"/>
                <w:sz w:val="18"/>
                <w:szCs w:val="18"/>
              </w:rPr>
              <w:t>Scale (RMB)</w:t>
            </w:r>
          </w:p>
        </w:tc>
        <w:tc>
          <w:tcPr>
            <w:tcW w:w="0" w:type="auto"/>
            <w:vAlign w:val="center"/>
          </w:tcPr>
          <w:p w14:paraId="05356FEC">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仿宋" w:cs="Times New Roman"/>
                <w:b/>
                <w:bCs/>
                <w:kern w:val="0"/>
                <w:sz w:val="18"/>
                <w:szCs w:val="18"/>
              </w:rPr>
              <w:t>Remarks</w:t>
            </w:r>
          </w:p>
        </w:tc>
      </w:tr>
      <w:tr w14:paraId="3C89D0A9">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rPr>
          <w:trHeight w:val="1832" w:hRule="atLeast"/>
        </w:trPr>
        <w:tc>
          <w:tcPr>
            <w:tcW w:w="0" w:type="auto"/>
            <w:shd w:val="clear" w:color="auto" w:fill="EAF1DD"/>
            <w:vAlign w:val="center"/>
          </w:tcPr>
          <w:p w14:paraId="03382086">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1</w:t>
            </w:r>
          </w:p>
        </w:tc>
        <w:tc>
          <w:tcPr>
            <w:tcW w:w="0" w:type="auto"/>
            <w:shd w:val="clear" w:color="auto" w:fill="EAF1DD"/>
            <w:vAlign w:val="center"/>
          </w:tcPr>
          <w:p w14:paraId="4E880E35">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Hunan Province Manufacturing Transformation and Upgrading Fund</w:t>
            </w:r>
          </w:p>
        </w:tc>
        <w:tc>
          <w:tcPr>
            <w:tcW w:w="0" w:type="auto"/>
            <w:shd w:val="clear" w:color="auto" w:fill="EAF1DD"/>
            <w:vAlign w:val="center"/>
          </w:tcPr>
          <w:p w14:paraId="52828CCC">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Industry chains of new materials and advanced manufacturing.</w:t>
            </w:r>
          </w:p>
        </w:tc>
        <w:tc>
          <w:tcPr>
            <w:tcW w:w="0" w:type="auto"/>
            <w:shd w:val="clear" w:color="auto" w:fill="EAF1DD"/>
            <w:vAlign w:val="center"/>
          </w:tcPr>
          <w:p w14:paraId="7ECC2E7A">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2022</w:t>
            </w:r>
          </w:p>
        </w:tc>
        <w:tc>
          <w:tcPr>
            <w:tcW w:w="0" w:type="auto"/>
            <w:shd w:val="clear" w:color="auto" w:fill="EAF1DD"/>
            <w:vAlign w:val="center"/>
          </w:tcPr>
          <w:p w14:paraId="2FC0A2BF">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4.215</w:t>
            </w:r>
          </w:p>
          <w:p w14:paraId="359A6377">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billion</w:t>
            </w:r>
          </w:p>
        </w:tc>
        <w:tc>
          <w:tcPr>
            <w:tcW w:w="0" w:type="auto"/>
            <w:shd w:val="clear" w:color="auto" w:fill="EAF1DD"/>
            <w:vAlign w:val="center"/>
          </w:tcPr>
          <w:p w14:paraId="6356D437">
            <w:pPr>
              <w:widowControl/>
              <w:adjustRightInd w:val="0"/>
              <w:snapToGrid w:val="0"/>
              <w:spacing w:afterLines="2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Jointly established by Zhuzhou Municipal People’s Government and National Manufacturing Transformation and Upgrading Fund; registered in Zhuzhou</w:t>
            </w:r>
          </w:p>
        </w:tc>
      </w:tr>
      <w:tr w14:paraId="70CE10F5">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0" w:type="auto"/>
            <w:vAlign w:val="center"/>
          </w:tcPr>
          <w:p w14:paraId="58C160F6">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2</w:t>
            </w:r>
          </w:p>
        </w:tc>
        <w:tc>
          <w:tcPr>
            <w:tcW w:w="0" w:type="auto"/>
            <w:vAlign w:val="center"/>
          </w:tcPr>
          <w:p w14:paraId="2575DA6F">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Changsha Industrial Development Fund of Funds (FOF)</w:t>
            </w:r>
          </w:p>
        </w:tc>
        <w:tc>
          <w:tcPr>
            <w:tcW w:w="0" w:type="auto"/>
            <w:vAlign w:val="center"/>
          </w:tcPr>
          <w:p w14:paraId="31E64D10">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Changsha’s 22 industrial and emerging competitive industrial chains and “1+2+N” advanced manufacturing clusters, including carbon-based materials and advanced hard materials</w:t>
            </w:r>
          </w:p>
        </w:tc>
        <w:tc>
          <w:tcPr>
            <w:tcW w:w="0" w:type="auto"/>
            <w:vAlign w:val="center"/>
          </w:tcPr>
          <w:p w14:paraId="013C11FA">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2023</w:t>
            </w:r>
          </w:p>
        </w:tc>
        <w:tc>
          <w:tcPr>
            <w:tcW w:w="0" w:type="auto"/>
            <w:vAlign w:val="center"/>
          </w:tcPr>
          <w:p w14:paraId="09B10884">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30 billion</w:t>
            </w:r>
          </w:p>
        </w:tc>
        <w:tc>
          <w:tcPr>
            <w:tcW w:w="0" w:type="auto"/>
            <w:vAlign w:val="center"/>
          </w:tcPr>
          <w:p w14:paraId="2E8F24D7">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Established under the leadership of Changsha Investment Holding Group</w:t>
            </w:r>
          </w:p>
        </w:tc>
      </w:tr>
      <w:tr w14:paraId="507E5583">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0" w:type="auto"/>
            <w:shd w:val="clear" w:color="auto" w:fill="EAF1DD"/>
            <w:vAlign w:val="center"/>
          </w:tcPr>
          <w:p w14:paraId="63E2447C">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3</w:t>
            </w:r>
          </w:p>
        </w:tc>
        <w:tc>
          <w:tcPr>
            <w:tcW w:w="0" w:type="auto"/>
            <w:shd w:val="clear" w:color="auto" w:fill="EAF1DD"/>
            <w:vAlign w:val="center"/>
          </w:tcPr>
          <w:p w14:paraId="2641BD93">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Zhuzhou Advanced Industrial Cluster Development Fund of Funds (FOF)</w:t>
            </w:r>
          </w:p>
        </w:tc>
        <w:tc>
          <w:tcPr>
            <w:tcW w:w="0" w:type="auto"/>
            <w:shd w:val="clear" w:color="auto" w:fill="EAF1DD"/>
            <w:vAlign w:val="center"/>
          </w:tcPr>
          <w:p w14:paraId="522ACEA1">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13 iconic industrial chains such as new polymer materials, fine chemicals, and advanced hard materials</w:t>
            </w:r>
          </w:p>
        </w:tc>
        <w:tc>
          <w:tcPr>
            <w:tcW w:w="0" w:type="auto"/>
            <w:shd w:val="clear" w:color="auto" w:fill="EAF1DD"/>
            <w:vAlign w:val="center"/>
          </w:tcPr>
          <w:p w14:paraId="23316892">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2022</w:t>
            </w:r>
          </w:p>
        </w:tc>
        <w:tc>
          <w:tcPr>
            <w:tcW w:w="0" w:type="auto"/>
            <w:shd w:val="clear" w:color="auto" w:fill="EAF1DD"/>
            <w:vAlign w:val="center"/>
          </w:tcPr>
          <w:p w14:paraId="3F53983F">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Phase Ⅰ: 5 billion</w:t>
            </w:r>
          </w:p>
        </w:tc>
        <w:tc>
          <w:tcPr>
            <w:tcW w:w="0" w:type="auto"/>
            <w:shd w:val="clear" w:color="auto" w:fill="EAF1DD"/>
            <w:vAlign w:val="center"/>
          </w:tcPr>
          <w:p w14:paraId="69782CCA">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Led by Zhuzhou Municipal People’s Government, with Hunan Chasing Financial Holdings and Zhuzhou state-owned enterprises as major sponsors</w:t>
            </w:r>
          </w:p>
        </w:tc>
      </w:tr>
      <w:tr w14:paraId="722F42D9">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0" w:type="auto"/>
            <w:vAlign w:val="center"/>
          </w:tcPr>
          <w:p w14:paraId="356BE885">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4</w:t>
            </w:r>
          </w:p>
        </w:tc>
        <w:tc>
          <w:tcPr>
            <w:tcW w:w="0" w:type="auto"/>
            <w:vAlign w:val="center"/>
          </w:tcPr>
          <w:p w14:paraId="205123B4">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Zhuzhou Caixin Polymer New Materials Industry Fund</w:t>
            </w:r>
          </w:p>
        </w:tc>
        <w:tc>
          <w:tcPr>
            <w:tcW w:w="0" w:type="auto"/>
            <w:vAlign w:val="center"/>
          </w:tcPr>
          <w:p w14:paraId="3D1A7E0E">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In principle, no less than 60% of the funds are allocated to the new polymer materials industry</w:t>
            </w:r>
          </w:p>
        </w:tc>
        <w:tc>
          <w:tcPr>
            <w:tcW w:w="0" w:type="auto"/>
            <w:vAlign w:val="center"/>
          </w:tcPr>
          <w:p w14:paraId="288F36A2">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2022</w:t>
            </w:r>
          </w:p>
        </w:tc>
        <w:tc>
          <w:tcPr>
            <w:tcW w:w="0" w:type="auto"/>
            <w:vAlign w:val="center"/>
          </w:tcPr>
          <w:p w14:paraId="484F3CF8">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1 billion</w:t>
            </w:r>
          </w:p>
        </w:tc>
        <w:tc>
          <w:tcPr>
            <w:tcW w:w="0" w:type="auto"/>
            <w:vAlign w:val="center"/>
          </w:tcPr>
          <w:p w14:paraId="669B7480">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Jointly established by Zhuzhou Municipal People’s Government, Hunan Chasing Financial Holdings, and private investors</w:t>
            </w:r>
          </w:p>
        </w:tc>
      </w:tr>
      <w:tr w14:paraId="63A26677">
        <w:tblPrEx>
          <w:tblBorders>
            <w:top w:val="single" w:color="C2D69B" w:sz="4" w:space="0"/>
            <w:left w:val="none" w:color="auto" w:sz="0" w:space="0"/>
            <w:bottom w:val="single" w:color="C2D69B" w:sz="4" w:space="0"/>
            <w:right w:val="none" w:color="auto" w:sz="0" w:space="0"/>
            <w:insideH w:val="single" w:color="C2D69B" w:sz="4" w:space="0"/>
            <w:insideV w:val="none" w:color="auto" w:sz="0" w:space="0"/>
          </w:tblBorders>
          <w:tblCellMar>
            <w:top w:w="0" w:type="dxa"/>
            <w:left w:w="108" w:type="dxa"/>
            <w:bottom w:w="0" w:type="dxa"/>
            <w:right w:w="108" w:type="dxa"/>
          </w:tblCellMar>
        </w:tblPrEx>
        <w:tc>
          <w:tcPr>
            <w:tcW w:w="0" w:type="auto"/>
            <w:shd w:val="clear" w:color="auto" w:fill="EAF1DD"/>
            <w:vAlign w:val="center"/>
          </w:tcPr>
          <w:p w14:paraId="6F9F8D17">
            <w:pPr>
              <w:widowControl/>
              <w:adjustRightInd w:val="0"/>
              <w:snapToGrid w:val="0"/>
              <w:ind w:left="-105" w:leftChars="-50" w:right="-105" w:rightChars="-50"/>
              <w:jc w:val="center"/>
              <w:rPr>
                <w:rFonts w:ascii="Times New Roman" w:hAnsi="Times New Roman" w:eastAsia="楷体" w:cs="Times New Roman"/>
                <w:b w:val="0"/>
                <w:bCs w:val="0"/>
                <w:kern w:val="0"/>
                <w:sz w:val="18"/>
                <w:szCs w:val="18"/>
              </w:rPr>
            </w:pPr>
            <w:r>
              <w:rPr>
                <w:rFonts w:ascii="Times New Roman" w:hAnsi="Times New Roman" w:eastAsia="楷体" w:cs="Times New Roman"/>
                <w:b w:val="0"/>
                <w:bCs w:val="0"/>
                <w:kern w:val="0"/>
                <w:sz w:val="18"/>
                <w:szCs w:val="18"/>
              </w:rPr>
              <w:t>5</w:t>
            </w:r>
          </w:p>
        </w:tc>
        <w:tc>
          <w:tcPr>
            <w:tcW w:w="0" w:type="auto"/>
            <w:shd w:val="clear" w:color="auto" w:fill="EAF1DD"/>
            <w:vAlign w:val="center"/>
          </w:tcPr>
          <w:p w14:paraId="629FFA9B">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Hunan Xiangjiang Shengshi Stock Investment Fund</w:t>
            </w:r>
          </w:p>
        </w:tc>
        <w:tc>
          <w:tcPr>
            <w:tcW w:w="0" w:type="auto"/>
            <w:shd w:val="clear" w:color="auto" w:fill="EAF1DD"/>
            <w:vAlign w:val="center"/>
          </w:tcPr>
          <w:p w14:paraId="61E8FB71">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 xml:space="preserve">New materials industry and other “10 + 6” industrial chains </w:t>
            </w:r>
            <w:r>
              <w:rPr>
                <w:rFonts w:ascii="Times New Roman" w:hAnsi="Times New Roman" w:eastAsia="楷体" w:cs="Times New Roman"/>
                <w:kern w:val="0"/>
                <w:sz w:val="18"/>
                <w:szCs w:val="18"/>
              </w:rPr>
              <w:t>as well as Intelligent equipment, intelligent terminals, intelligent connected vehicles, and power chips</w:t>
            </w:r>
          </w:p>
        </w:tc>
        <w:tc>
          <w:tcPr>
            <w:tcW w:w="0" w:type="auto"/>
            <w:shd w:val="clear" w:color="auto" w:fill="EAF1DD"/>
            <w:vAlign w:val="center"/>
          </w:tcPr>
          <w:p w14:paraId="24AD96F4">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楷体" w:cs="Times New Roman"/>
                <w:kern w:val="0"/>
                <w:sz w:val="18"/>
                <w:szCs w:val="18"/>
              </w:rPr>
              <w:t>2017</w:t>
            </w:r>
          </w:p>
        </w:tc>
        <w:tc>
          <w:tcPr>
            <w:tcW w:w="0" w:type="auto"/>
            <w:shd w:val="clear" w:color="auto" w:fill="EAF1DD"/>
            <w:vAlign w:val="center"/>
          </w:tcPr>
          <w:p w14:paraId="1D8637B7">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2 billion</w:t>
            </w:r>
          </w:p>
        </w:tc>
        <w:tc>
          <w:tcPr>
            <w:tcW w:w="0" w:type="auto"/>
            <w:shd w:val="clear" w:color="auto" w:fill="EAF1DD"/>
            <w:vAlign w:val="center"/>
          </w:tcPr>
          <w:p w14:paraId="4D822938">
            <w:pPr>
              <w:widowControl/>
              <w:adjustRightInd w:val="0"/>
              <w:snapToGrid w:val="0"/>
              <w:ind w:left="-105" w:leftChars="-50" w:right="-105" w:rightChars="-50"/>
              <w:jc w:val="center"/>
              <w:rPr>
                <w:rFonts w:ascii="Times New Roman" w:hAnsi="Times New Roman" w:eastAsia="楷体" w:cs="Times New Roman"/>
                <w:kern w:val="0"/>
                <w:sz w:val="18"/>
                <w:szCs w:val="18"/>
              </w:rPr>
            </w:pPr>
            <w:r>
              <w:rPr>
                <w:rFonts w:ascii="Times New Roman" w:hAnsi="Times New Roman" w:eastAsia="仿宋" w:cs="Times New Roman"/>
                <w:kern w:val="0"/>
                <w:sz w:val="18"/>
                <w:szCs w:val="18"/>
              </w:rPr>
              <w:t>Initiated by Hunan Xiangjiang New Area</w:t>
            </w:r>
          </w:p>
        </w:tc>
      </w:tr>
    </w:tbl>
    <w:p w14:paraId="23183A79">
      <w:pPr>
        <w:snapToGrid w:val="0"/>
        <w:spacing w:beforeLines="50" w:line="360" w:lineRule="exact"/>
        <w:ind w:firstLine="442" w:firstLineChars="200"/>
        <w:outlineLvl w:val="2"/>
        <w:rPr>
          <w:rFonts w:ascii="Times New Roman" w:hAnsi="Times New Roman" w:eastAsia="黑体" w:cs="Times New Roman"/>
          <w:b/>
          <w:sz w:val="22"/>
        </w:rPr>
      </w:pPr>
      <w:bookmarkStart w:id="226" w:name="_Toc163910379"/>
      <w:r>
        <w:rPr>
          <w:rFonts w:ascii="Times New Roman" w:hAnsi="Times New Roman" w:eastAsia="黑体" w:cs="Times New Roman"/>
          <w:b/>
          <w:sz w:val="22"/>
        </w:rPr>
        <w:t xml:space="preserve">(4) Investment </w:t>
      </w:r>
      <w:r>
        <w:rPr>
          <w:rFonts w:ascii="Times New Roman" w:hAnsi="Times New Roman" w:eastAsia="黑体" w:cs="Times New Roman"/>
          <w:b/>
          <w:sz w:val="22"/>
          <w:szCs w:val="24"/>
        </w:rPr>
        <w:t>O</w:t>
      </w:r>
      <w:r>
        <w:rPr>
          <w:rFonts w:hint="eastAsia" w:ascii="Times New Roman" w:hAnsi="Times New Roman" w:eastAsia="黑体" w:cs="Times New Roman"/>
          <w:b/>
          <w:sz w:val="22"/>
          <w:szCs w:val="24"/>
        </w:rPr>
        <w:t>rientation</w:t>
      </w:r>
      <w:r>
        <w:rPr>
          <w:rFonts w:ascii="Times New Roman" w:hAnsi="Times New Roman" w:eastAsia="黑体" w:cs="Times New Roman"/>
          <w:b/>
          <w:sz w:val="22"/>
        </w:rPr>
        <w:t xml:space="preserve"> and Industrial Layout</w:t>
      </w:r>
      <w:bookmarkEnd w:id="226"/>
    </w:p>
    <w:p w14:paraId="269C6EE7">
      <w:pPr>
        <w:snapToGrid w:val="0"/>
        <w:spacing w:line="360" w:lineRule="exact"/>
        <w:ind w:firstLine="442" w:firstLineChars="200"/>
        <w:rPr>
          <w:rFonts w:ascii="Times New Roman" w:hAnsi="Times New Roman" w:eastAsia="仿宋" w:cs="Times New Roman"/>
          <w:sz w:val="22"/>
        </w:rPr>
      </w:pPr>
      <w:r>
        <w:rPr>
          <w:rFonts w:ascii="Times New Roman" w:hAnsi="Times New Roman" w:eastAsia="仿宋" w:cs="Times New Roman"/>
          <w:b/>
          <w:bCs/>
          <w:sz w:val="22"/>
        </w:rPr>
        <w:t>Cutting-edge Materials in Petrochemical Engineering</w:t>
      </w:r>
      <w:r>
        <w:rPr>
          <w:rFonts w:ascii="Times New Roman" w:hAnsi="Times New Roman" w:eastAsia="仿宋" w:cs="Times New Roman"/>
          <w:b/>
          <w:bCs/>
          <w:sz w:val="22"/>
          <w:szCs w:val="24"/>
        </w:rPr>
        <w:t xml:space="preserve">. </w:t>
      </w:r>
      <w:r>
        <w:rPr>
          <w:rFonts w:ascii="Times New Roman" w:hAnsi="Times New Roman" w:eastAsia="仿宋" w:cs="Times New Roman"/>
          <w:sz w:val="22"/>
          <w:szCs w:val="24"/>
        </w:rPr>
        <w:t>Based on</w:t>
      </w:r>
      <w:r>
        <w:rPr>
          <w:rFonts w:ascii="Times New Roman" w:hAnsi="Times New Roman" w:eastAsia="仿宋" w:cs="Times New Roman"/>
          <w:sz w:val="22"/>
        </w:rPr>
        <w:t xml:space="preserve"> Yueyang Green Chemical HTZ and Youxian HTZ. We aim to extend the cutting-edge petrochemical materials industry chain with a focus on high-performance catalysts, polyamide (PA) and high-end nylon, lithium-based polymer, epoxy resin, polyolefin, polyester, and </w:t>
      </w:r>
    </w:p>
    <w:p w14:paraId="101B8945">
      <w:pPr>
        <w:snapToGrid w:val="0"/>
        <w:spacing w:line="360" w:lineRule="exact"/>
        <w:ind w:firstLine="440" w:firstLineChars="200"/>
        <w:rPr>
          <w:rFonts w:ascii="Times New Roman" w:hAnsi="Times New Roman" w:eastAsia="仿宋" w:cs="Times New Roman"/>
          <w:sz w:val="22"/>
        </w:rPr>
      </w:pPr>
    </w:p>
    <w:p w14:paraId="60D01654">
      <w:pPr>
        <w:snapToGrid w:val="0"/>
        <w:spacing w:line="360" w:lineRule="exact"/>
        <w:ind w:firstLine="440" w:firstLineChars="200"/>
        <w:rPr>
          <w:rFonts w:ascii="Times New Roman" w:hAnsi="Times New Roman" w:eastAsia="仿宋" w:cs="Times New Roman"/>
          <w:sz w:val="22"/>
        </w:rPr>
      </w:pPr>
    </w:p>
    <w:p w14:paraId="3A4CC653">
      <w:pPr>
        <w:snapToGrid w:val="0"/>
        <w:spacing w:line="360" w:lineRule="exact"/>
        <w:ind w:firstLine="440" w:firstLineChars="200"/>
        <w:rPr>
          <w:rFonts w:ascii="Times New Roman" w:hAnsi="Times New Roman" w:eastAsia="仿宋" w:cs="Times New Roman"/>
          <w:sz w:val="22"/>
        </w:rPr>
      </w:pPr>
    </w:p>
    <w:p w14:paraId="76B5312D">
      <w:pPr>
        <w:snapToGrid w:val="0"/>
        <w:spacing w:line="360" w:lineRule="exact"/>
        <w:ind w:firstLine="440" w:firstLineChars="200"/>
        <w:rPr>
          <w:rFonts w:ascii="Times New Roman" w:hAnsi="Times New Roman" w:eastAsia="仿宋" w:cs="Times New Roman"/>
          <w:sz w:val="22"/>
        </w:rPr>
      </w:pPr>
      <w:r>
        <w:rPr>
          <w:rFonts w:hint="eastAsia" w:ascii="Times New Roman" w:hAnsi="Times New Roman" w:eastAsia="仿宋" w:cs="Times New Roman"/>
          <w:sz w:val="22"/>
        </w:rPr>
        <w:drawing>
          <wp:anchor distT="0" distB="0" distL="114300" distR="114300" simplePos="0" relativeHeight="251708416" behindDoc="0" locked="0" layoutInCell="1" allowOverlap="1">
            <wp:simplePos x="0" y="0"/>
            <wp:positionH relativeFrom="column">
              <wp:posOffset>-809625</wp:posOffset>
            </wp:positionH>
            <wp:positionV relativeFrom="paragraph">
              <wp:posOffset>190500</wp:posOffset>
            </wp:positionV>
            <wp:extent cx="5572125" cy="3799205"/>
            <wp:effectExtent l="0" t="895350" r="0" b="868045"/>
            <wp:wrapNone/>
            <wp:docPr id="11827332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33233" name="图片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rot="16200000">
                      <a:off x="0" y="0"/>
                      <a:ext cx="5572125" cy="3799205"/>
                    </a:xfrm>
                    <a:prstGeom prst="rect">
                      <a:avLst/>
                    </a:prstGeom>
                    <a:noFill/>
                    <a:ln>
                      <a:noFill/>
                    </a:ln>
                  </pic:spPr>
                </pic:pic>
              </a:graphicData>
            </a:graphic>
          </wp:anchor>
        </w:drawing>
      </w:r>
    </w:p>
    <w:p w14:paraId="4DBE1740">
      <w:pPr>
        <w:snapToGrid w:val="0"/>
        <w:spacing w:line="360" w:lineRule="exact"/>
        <w:ind w:firstLine="440" w:firstLineChars="200"/>
        <w:rPr>
          <w:rFonts w:ascii="Times New Roman" w:hAnsi="Times New Roman" w:eastAsia="仿宋" w:cs="Times New Roman"/>
          <w:sz w:val="22"/>
        </w:rPr>
      </w:pPr>
    </w:p>
    <w:p w14:paraId="0D980526">
      <w:pPr>
        <w:snapToGrid w:val="0"/>
        <w:spacing w:line="360" w:lineRule="exact"/>
        <w:ind w:firstLine="440" w:firstLineChars="200"/>
        <w:rPr>
          <w:rFonts w:ascii="Times New Roman" w:hAnsi="Times New Roman" w:eastAsia="仿宋" w:cs="Times New Roman"/>
          <w:sz w:val="22"/>
        </w:rPr>
      </w:pPr>
    </w:p>
    <w:p w14:paraId="48DC7DF9">
      <w:pPr>
        <w:snapToGrid w:val="0"/>
        <w:spacing w:line="360" w:lineRule="exact"/>
        <w:ind w:firstLine="440" w:firstLineChars="200"/>
        <w:rPr>
          <w:rFonts w:ascii="Times New Roman" w:hAnsi="Times New Roman" w:eastAsia="仿宋" w:cs="Times New Roman"/>
          <w:sz w:val="22"/>
        </w:rPr>
      </w:pPr>
    </w:p>
    <w:p w14:paraId="47B11C8F">
      <w:pPr>
        <w:snapToGrid w:val="0"/>
        <w:spacing w:line="360" w:lineRule="exact"/>
        <w:ind w:firstLine="440" w:firstLineChars="200"/>
        <w:rPr>
          <w:rFonts w:ascii="Times New Roman" w:hAnsi="Times New Roman" w:eastAsia="仿宋" w:cs="Times New Roman"/>
          <w:sz w:val="22"/>
        </w:rPr>
      </w:pPr>
    </w:p>
    <w:p w14:paraId="4B07B6C8">
      <w:pPr>
        <w:snapToGrid w:val="0"/>
        <w:spacing w:line="360" w:lineRule="exact"/>
        <w:ind w:firstLine="440" w:firstLineChars="200"/>
        <w:rPr>
          <w:rFonts w:ascii="Times New Roman" w:hAnsi="Times New Roman" w:eastAsia="仿宋" w:cs="Times New Roman"/>
          <w:sz w:val="22"/>
        </w:rPr>
      </w:pPr>
    </w:p>
    <w:p w14:paraId="751BD987">
      <w:pPr>
        <w:snapToGrid w:val="0"/>
        <w:spacing w:line="360" w:lineRule="exact"/>
        <w:ind w:firstLine="440" w:firstLineChars="200"/>
        <w:rPr>
          <w:rFonts w:ascii="Times New Roman" w:hAnsi="Times New Roman" w:eastAsia="仿宋" w:cs="Times New Roman"/>
          <w:sz w:val="22"/>
        </w:rPr>
      </w:pPr>
    </w:p>
    <w:p w14:paraId="3CA7246D">
      <w:pPr>
        <w:snapToGrid w:val="0"/>
        <w:spacing w:line="360" w:lineRule="exact"/>
        <w:ind w:firstLine="440" w:firstLineChars="200"/>
        <w:rPr>
          <w:rFonts w:ascii="Times New Roman" w:hAnsi="Times New Roman" w:eastAsia="仿宋" w:cs="Times New Roman"/>
          <w:sz w:val="22"/>
        </w:rPr>
      </w:pPr>
    </w:p>
    <w:p w14:paraId="7937D2D4">
      <w:pPr>
        <w:snapToGrid w:val="0"/>
        <w:spacing w:line="360" w:lineRule="exact"/>
        <w:ind w:firstLine="440" w:firstLineChars="200"/>
        <w:rPr>
          <w:rFonts w:ascii="Times New Roman" w:hAnsi="Times New Roman" w:eastAsia="仿宋" w:cs="Times New Roman"/>
          <w:sz w:val="22"/>
        </w:rPr>
      </w:pPr>
    </w:p>
    <w:p w14:paraId="3269009B">
      <w:pPr>
        <w:snapToGrid w:val="0"/>
        <w:spacing w:line="360" w:lineRule="exact"/>
        <w:ind w:firstLine="440" w:firstLineChars="200"/>
        <w:rPr>
          <w:rFonts w:ascii="Times New Roman" w:hAnsi="Times New Roman" w:eastAsia="仿宋" w:cs="Times New Roman"/>
          <w:sz w:val="22"/>
        </w:rPr>
      </w:pPr>
    </w:p>
    <w:p w14:paraId="1E6613D0">
      <w:pPr>
        <w:snapToGrid w:val="0"/>
        <w:spacing w:line="360" w:lineRule="exact"/>
        <w:ind w:firstLine="440" w:firstLineChars="200"/>
        <w:rPr>
          <w:rFonts w:ascii="Times New Roman" w:hAnsi="Times New Roman" w:eastAsia="仿宋" w:cs="Times New Roman"/>
          <w:sz w:val="22"/>
        </w:rPr>
      </w:pPr>
    </w:p>
    <w:p w14:paraId="275E86A0">
      <w:pPr>
        <w:snapToGrid w:val="0"/>
        <w:spacing w:line="360" w:lineRule="exact"/>
        <w:ind w:firstLine="440" w:firstLineChars="200"/>
        <w:rPr>
          <w:rFonts w:ascii="Times New Roman" w:hAnsi="Times New Roman" w:eastAsia="仿宋" w:cs="Times New Roman"/>
          <w:sz w:val="22"/>
        </w:rPr>
      </w:pPr>
    </w:p>
    <w:p w14:paraId="363ABD2D">
      <w:pPr>
        <w:snapToGrid w:val="0"/>
        <w:spacing w:line="360" w:lineRule="exact"/>
        <w:ind w:firstLine="440" w:firstLineChars="200"/>
        <w:rPr>
          <w:rFonts w:ascii="Times New Roman" w:hAnsi="Times New Roman" w:eastAsia="仿宋" w:cs="Times New Roman"/>
          <w:sz w:val="22"/>
        </w:rPr>
      </w:pPr>
    </w:p>
    <w:p w14:paraId="082D194F">
      <w:pPr>
        <w:snapToGrid w:val="0"/>
        <w:spacing w:line="360" w:lineRule="exact"/>
        <w:ind w:firstLine="440" w:firstLineChars="200"/>
        <w:rPr>
          <w:rFonts w:ascii="Times New Roman" w:hAnsi="Times New Roman" w:eastAsia="仿宋" w:cs="Times New Roman"/>
          <w:sz w:val="22"/>
        </w:rPr>
      </w:pPr>
    </w:p>
    <w:p w14:paraId="3115FE44">
      <w:pPr>
        <w:snapToGrid w:val="0"/>
        <w:spacing w:line="360" w:lineRule="exact"/>
        <w:ind w:firstLine="440" w:firstLineChars="200"/>
        <w:rPr>
          <w:rFonts w:ascii="Times New Roman" w:hAnsi="Times New Roman" w:eastAsia="仿宋" w:cs="Times New Roman"/>
          <w:sz w:val="22"/>
        </w:rPr>
      </w:pPr>
    </w:p>
    <w:p w14:paraId="78DEAB3D">
      <w:pPr>
        <w:snapToGrid w:val="0"/>
        <w:spacing w:line="360" w:lineRule="exact"/>
        <w:ind w:firstLine="440" w:firstLineChars="200"/>
        <w:rPr>
          <w:rFonts w:ascii="Times New Roman" w:hAnsi="Times New Roman" w:eastAsia="仿宋" w:cs="Times New Roman"/>
          <w:sz w:val="22"/>
        </w:rPr>
      </w:pPr>
    </w:p>
    <w:p w14:paraId="081040C7">
      <w:pPr>
        <w:snapToGrid w:val="0"/>
        <w:spacing w:line="360" w:lineRule="exact"/>
        <w:ind w:firstLine="440" w:firstLineChars="200"/>
        <w:rPr>
          <w:rFonts w:ascii="Times New Roman" w:hAnsi="Times New Roman" w:eastAsia="仿宋" w:cs="Times New Roman"/>
          <w:sz w:val="22"/>
        </w:rPr>
      </w:pPr>
    </w:p>
    <w:p w14:paraId="6C911CA8">
      <w:pPr>
        <w:snapToGrid w:val="0"/>
        <w:spacing w:line="360" w:lineRule="exact"/>
        <w:ind w:firstLine="440" w:firstLineChars="200"/>
        <w:rPr>
          <w:rFonts w:ascii="Times New Roman" w:hAnsi="Times New Roman" w:eastAsia="仿宋" w:cs="Times New Roman"/>
          <w:sz w:val="22"/>
        </w:rPr>
      </w:pPr>
    </w:p>
    <w:p w14:paraId="4DCA3DFD">
      <w:pPr>
        <w:snapToGrid w:val="0"/>
        <w:spacing w:line="360" w:lineRule="exact"/>
        <w:ind w:firstLine="440" w:firstLineChars="200"/>
        <w:rPr>
          <w:rFonts w:ascii="Times New Roman" w:hAnsi="Times New Roman" w:eastAsia="仿宋" w:cs="Times New Roman"/>
          <w:sz w:val="22"/>
        </w:rPr>
      </w:pPr>
    </w:p>
    <w:p w14:paraId="4C93DF70">
      <w:pPr>
        <w:snapToGrid w:val="0"/>
        <w:spacing w:line="360" w:lineRule="exact"/>
        <w:ind w:firstLine="440" w:firstLineChars="200"/>
        <w:rPr>
          <w:rFonts w:ascii="Times New Roman" w:hAnsi="Times New Roman" w:eastAsia="仿宋" w:cs="Times New Roman"/>
          <w:sz w:val="22"/>
        </w:rPr>
      </w:pPr>
    </w:p>
    <w:p w14:paraId="4B6146E7">
      <w:pPr>
        <w:snapToGrid w:val="0"/>
        <w:spacing w:line="360" w:lineRule="exact"/>
        <w:ind w:firstLine="440" w:firstLineChars="200"/>
        <w:rPr>
          <w:rFonts w:ascii="Times New Roman" w:hAnsi="Times New Roman" w:eastAsia="仿宋" w:cs="Times New Roman"/>
          <w:sz w:val="22"/>
        </w:rPr>
      </w:pPr>
    </w:p>
    <w:p w14:paraId="0948B887">
      <w:pPr>
        <w:snapToGrid w:val="0"/>
        <w:spacing w:line="360" w:lineRule="exact"/>
        <w:rPr>
          <w:rFonts w:ascii="Times New Roman" w:hAnsi="Times New Roman" w:eastAsia="仿宋" w:cs="Times New Roman"/>
          <w:sz w:val="22"/>
        </w:rPr>
      </w:pPr>
      <w:r>
        <w:rPr>
          <w:rFonts w:ascii="Times New Roman" w:hAnsi="Times New Roman" w:eastAsia="仿宋" w:cs="Times New Roman"/>
          <w:sz w:val="22"/>
        </w:rPr>
        <w:t>polyether. Based on Wangcheng ETDZ, the focus is on bio-based polymeric materials, polymer-based 3D printing materials, and new functional coatings.</w:t>
      </w:r>
    </w:p>
    <w:p w14:paraId="3D426CE0">
      <w:pPr>
        <w:snapToGrid w:val="0"/>
        <w:spacing w:line="360" w:lineRule="exact"/>
        <w:ind w:firstLine="442" w:firstLineChars="200"/>
        <w:rPr>
          <w:rFonts w:ascii="Times New Roman" w:hAnsi="Times New Roman" w:eastAsia="仿宋" w:cs="Times New Roman"/>
          <w:sz w:val="22"/>
          <w:szCs w:val="24"/>
        </w:rPr>
      </w:pPr>
      <w:r>
        <w:rPr>
          <w:rFonts w:ascii="Times New Roman" w:hAnsi="Times New Roman" w:eastAsia="仿宋" w:cs="Times New Roman"/>
          <w:b/>
          <w:sz w:val="22"/>
        </w:rPr>
        <w:t xml:space="preserve">Cutting-edge metallic and non-metallic materials. </w:t>
      </w:r>
      <w:r>
        <w:rPr>
          <w:rFonts w:ascii="Times New Roman" w:hAnsi="Times New Roman" w:eastAsia="仿宋" w:cs="Times New Roman"/>
          <w:bCs/>
          <w:sz w:val="22"/>
        </w:rPr>
        <w:t xml:space="preserve">In the field of advanced hard materials and based on Hetang HTZ and Anhua ETDZ, emphasis will be placed on </w:t>
      </w:r>
      <w:r>
        <w:rPr>
          <w:rFonts w:ascii="Times New Roman" w:hAnsi="Times New Roman" w:eastAsia="仿宋" w:cs="Times New Roman"/>
          <w:sz w:val="22"/>
        </w:rPr>
        <w:t xml:space="preserve">ultrafine tungsten carbide, high-end cemented carbide rods, superhard drill bits and cutting tools, and tungsten &amp; molybdenum materials processing. </w:t>
      </w:r>
      <w:r>
        <w:rPr>
          <w:rFonts w:ascii="Times New Roman" w:hAnsi="Times New Roman" w:eastAsia="仿宋" w:cs="Times New Roman"/>
          <w:bCs/>
          <w:sz w:val="22"/>
        </w:rPr>
        <w:t xml:space="preserve">In the field of new metallic materials, based on Xiangtan HTZ and Loudi ETDZ, priority will be given to </w:t>
      </w:r>
      <w:r>
        <w:rPr>
          <w:rFonts w:ascii="Times New Roman" w:hAnsi="Times New Roman" w:eastAsia="仿宋" w:cs="Times New Roman"/>
          <w:sz w:val="22"/>
        </w:rPr>
        <w:t xml:space="preserve">aerospace and aviation aluminum alloys, high-quality titanium materials for aerospace and marine engineering, and high strength, corrosion resistant steel. </w:t>
      </w:r>
      <w:r>
        <w:rPr>
          <w:rFonts w:ascii="Times New Roman" w:hAnsi="Times New Roman" w:eastAsia="仿宋" w:cs="Times New Roman"/>
          <w:bCs/>
          <w:sz w:val="22"/>
        </w:rPr>
        <w:t xml:space="preserve">In the field of advanced ceramic materials and based on Liling ETDZ, Loudi ETDZ, and Xinhua HTZ, we will focus on </w:t>
      </w:r>
      <w:r>
        <w:rPr>
          <w:rFonts w:ascii="Times New Roman" w:hAnsi="Times New Roman" w:eastAsia="仿宋" w:cs="Times New Roman"/>
          <w:sz w:val="22"/>
        </w:rPr>
        <w:t>thermostat ceramics, electro-optic ceramics, ceramic capacitors, ceramic sensors, ceramic optical fiber, special/ultra-high voltage power ceramics, high-temperature wear-resistant ceramics, and ceramic ultrafiltration membranes, as well as glass new materials.</w:t>
      </w:r>
      <w:r>
        <w:rPr>
          <w:rFonts w:ascii="Times New Roman" w:hAnsi="Times New Roman" w:eastAsia="仿宋" w:cs="Times New Roman"/>
          <w:bCs/>
          <w:sz w:val="22"/>
        </w:rPr>
        <w:t xml:space="preserve"> In the field of carbon-based materials, based on Chenzhou HTZ and Chenzhou ETDZ, priority will be given to </w:t>
      </w:r>
      <w:r>
        <w:rPr>
          <w:rFonts w:ascii="Times New Roman" w:hAnsi="Times New Roman" w:eastAsia="仿宋" w:cs="Times New Roman"/>
          <w:sz w:val="22"/>
        </w:rPr>
        <w:t xml:space="preserve">carbon-based composites, carbon ceramic composites, graphene, silicon carbide semiconductor materials, high-end carbon products, and deep processing of microcrystalline graphite. </w:t>
      </w:r>
      <w:r>
        <w:rPr>
          <w:rFonts w:ascii="Times New Roman" w:hAnsi="Times New Roman" w:eastAsia="仿宋" w:cs="Times New Roman"/>
          <w:sz w:val="22"/>
          <w:szCs w:val="24"/>
        </w:rPr>
        <w:t xml:space="preserve">In other areas, based on Xiangjiang New Area and </w:t>
      </w:r>
      <w:r>
        <w:rPr>
          <w:rFonts w:ascii="Times New Roman" w:hAnsi="Times New Roman" w:eastAsia="仿宋" w:cs="Times New Roman"/>
          <w:bCs/>
          <w:sz w:val="22"/>
        </w:rPr>
        <w:t xml:space="preserve">Xiangtan HTZ, </w:t>
      </w:r>
      <w:r>
        <w:rPr>
          <w:rFonts w:ascii="Times New Roman" w:hAnsi="Times New Roman" w:eastAsia="仿宋" w:cs="Times New Roman"/>
          <w:sz w:val="22"/>
          <w:szCs w:val="24"/>
        </w:rPr>
        <w:t>emphasis will be placed on 3D printing materials, superconducting materials, nanomaterials, biomedical materials, liquid metals, smart materials, biomimetic materials, and metamaterials.</w:t>
      </w:r>
    </w:p>
    <w:p w14:paraId="31E88E52">
      <w:pPr>
        <w:snapToGrid w:val="0"/>
        <w:spacing w:line="360" w:lineRule="exact"/>
        <w:ind w:firstLine="400" w:firstLineChars="200"/>
        <w:rPr>
          <w:rFonts w:ascii="Times New Roman" w:hAnsi="Times New Roman" w:eastAsia="仿宋" w:cs="Times New Roman"/>
          <w:sz w:val="20"/>
          <w:szCs w:val="21"/>
        </w:rPr>
      </w:pPr>
    </w:p>
    <w:p w14:paraId="7F639754">
      <w:pPr>
        <w:snapToGrid w:val="0"/>
        <w:spacing w:line="360" w:lineRule="exact"/>
        <w:ind w:firstLine="400" w:firstLineChars="200"/>
        <w:rPr>
          <w:rFonts w:ascii="Times New Roman" w:hAnsi="Times New Roman" w:eastAsia="仿宋" w:cs="Times New Roman"/>
          <w:sz w:val="20"/>
          <w:szCs w:val="21"/>
        </w:rPr>
      </w:pPr>
    </w:p>
    <w:p w14:paraId="62F47402">
      <w:pPr>
        <w:snapToGrid w:val="0"/>
        <w:spacing w:line="360" w:lineRule="exact"/>
        <w:ind w:firstLine="400" w:firstLineChars="200"/>
        <w:rPr>
          <w:rFonts w:ascii="Times New Roman" w:hAnsi="Times New Roman" w:eastAsia="仿宋" w:cs="Times New Roman"/>
          <w:sz w:val="20"/>
          <w:szCs w:val="21"/>
        </w:rPr>
      </w:pPr>
    </w:p>
    <w:p w14:paraId="2DD2C806">
      <w:pPr>
        <w:snapToGrid w:val="0"/>
        <w:spacing w:line="360" w:lineRule="exact"/>
        <w:ind w:firstLine="400" w:firstLineChars="200"/>
        <w:rPr>
          <w:rFonts w:ascii="Times New Roman" w:hAnsi="Times New Roman" w:eastAsia="仿宋" w:cs="Times New Roman"/>
          <w:sz w:val="20"/>
          <w:szCs w:val="21"/>
        </w:rPr>
      </w:pPr>
    </w:p>
    <w:p w14:paraId="576350CD">
      <w:pPr>
        <w:snapToGrid w:val="0"/>
        <w:spacing w:line="360" w:lineRule="exact"/>
        <w:ind w:firstLine="400" w:firstLineChars="200"/>
        <w:rPr>
          <w:rFonts w:ascii="Times New Roman" w:hAnsi="Times New Roman" w:eastAsia="仿宋" w:cs="Times New Roman"/>
          <w:sz w:val="20"/>
          <w:szCs w:val="21"/>
        </w:rPr>
      </w:pPr>
    </w:p>
    <w:p w14:paraId="438ED580">
      <w:pPr>
        <w:snapToGrid w:val="0"/>
        <w:spacing w:line="360" w:lineRule="exact"/>
        <w:ind w:firstLine="400" w:firstLineChars="200"/>
        <w:rPr>
          <w:rFonts w:ascii="Times New Roman" w:hAnsi="Times New Roman" w:eastAsia="仿宋" w:cs="Times New Roman"/>
          <w:sz w:val="20"/>
          <w:szCs w:val="21"/>
        </w:rPr>
      </w:pPr>
    </w:p>
    <w:p w14:paraId="50259C37">
      <w:pPr>
        <w:snapToGrid w:val="0"/>
        <w:spacing w:line="360" w:lineRule="exact"/>
        <w:ind w:firstLine="400" w:firstLineChars="200"/>
        <w:rPr>
          <w:rFonts w:ascii="Times New Roman" w:hAnsi="Times New Roman" w:eastAsia="仿宋" w:cs="Times New Roman"/>
          <w:sz w:val="20"/>
          <w:szCs w:val="21"/>
        </w:rPr>
      </w:pPr>
    </w:p>
    <w:p w14:paraId="38FD18FD">
      <w:pPr>
        <w:snapToGrid w:val="0"/>
        <w:spacing w:line="360" w:lineRule="exact"/>
        <w:ind w:firstLine="400" w:firstLineChars="200"/>
        <w:rPr>
          <w:rFonts w:ascii="Times New Roman" w:hAnsi="Times New Roman" w:eastAsia="仿宋" w:cs="Times New Roman"/>
          <w:sz w:val="20"/>
          <w:szCs w:val="21"/>
        </w:rPr>
      </w:pPr>
    </w:p>
    <w:p w14:paraId="2778E107">
      <w:pPr>
        <w:snapToGrid w:val="0"/>
        <w:spacing w:line="360" w:lineRule="exact"/>
        <w:ind w:firstLine="400" w:firstLineChars="200"/>
        <w:rPr>
          <w:rFonts w:ascii="Times New Roman" w:hAnsi="Times New Roman" w:eastAsia="仿宋" w:cs="Times New Roman"/>
          <w:sz w:val="20"/>
          <w:szCs w:val="21"/>
        </w:rPr>
      </w:pPr>
    </w:p>
    <w:p w14:paraId="1A8D539C">
      <w:pPr>
        <w:snapToGrid w:val="0"/>
        <w:spacing w:line="360" w:lineRule="exact"/>
        <w:ind w:firstLine="400" w:firstLineChars="200"/>
        <w:rPr>
          <w:rFonts w:ascii="Times New Roman" w:hAnsi="Times New Roman" w:eastAsia="仿宋" w:cs="Times New Roman"/>
          <w:sz w:val="20"/>
          <w:szCs w:val="21"/>
        </w:rPr>
      </w:pPr>
    </w:p>
    <w:p w14:paraId="45E83630">
      <w:pPr>
        <w:snapToGrid w:val="0"/>
        <w:spacing w:line="360" w:lineRule="exact"/>
        <w:ind w:firstLine="400" w:firstLineChars="200"/>
        <w:rPr>
          <w:rFonts w:ascii="Times New Roman" w:hAnsi="Times New Roman" w:eastAsia="仿宋" w:cs="Times New Roman"/>
          <w:sz w:val="20"/>
          <w:szCs w:val="21"/>
        </w:rPr>
      </w:pPr>
    </w:p>
    <w:p w14:paraId="6611B629">
      <w:pPr>
        <w:snapToGrid w:val="0"/>
        <w:spacing w:line="360" w:lineRule="exact"/>
        <w:ind w:firstLine="400" w:firstLineChars="200"/>
        <w:rPr>
          <w:rFonts w:ascii="Times New Roman" w:hAnsi="Times New Roman" w:eastAsia="仿宋" w:cs="Times New Roman"/>
          <w:sz w:val="20"/>
          <w:szCs w:val="21"/>
        </w:rPr>
      </w:pPr>
    </w:p>
    <w:p w14:paraId="31BCB3E5">
      <w:pPr>
        <w:snapToGrid w:val="0"/>
        <w:spacing w:line="360" w:lineRule="exact"/>
        <w:ind w:firstLine="400" w:firstLineChars="200"/>
        <w:rPr>
          <w:rFonts w:ascii="Times New Roman" w:hAnsi="Times New Roman" w:eastAsia="仿宋" w:cs="Times New Roman"/>
          <w:sz w:val="20"/>
          <w:szCs w:val="21"/>
        </w:rPr>
      </w:pPr>
    </w:p>
    <w:p w14:paraId="4A3D531F">
      <w:pPr>
        <w:snapToGrid w:val="0"/>
        <w:spacing w:line="360" w:lineRule="exact"/>
        <w:ind w:firstLine="400" w:firstLineChars="200"/>
        <w:rPr>
          <w:rFonts w:ascii="Times New Roman" w:hAnsi="Times New Roman" w:eastAsia="仿宋" w:cs="Times New Roman"/>
          <w:sz w:val="20"/>
          <w:szCs w:val="21"/>
        </w:rPr>
      </w:pPr>
    </w:p>
    <w:p w14:paraId="2C8F5497">
      <w:pPr>
        <w:snapToGrid w:val="0"/>
        <w:spacing w:line="360" w:lineRule="exact"/>
        <w:ind w:firstLine="400" w:firstLineChars="200"/>
        <w:rPr>
          <w:rFonts w:ascii="Times New Roman" w:hAnsi="Times New Roman" w:eastAsia="仿宋" w:cs="Times New Roman"/>
          <w:sz w:val="20"/>
          <w:szCs w:val="21"/>
        </w:rPr>
      </w:pPr>
    </w:p>
    <w:p w14:paraId="342FBB96">
      <w:pPr>
        <w:snapToGrid w:val="0"/>
        <w:spacing w:line="360" w:lineRule="exact"/>
        <w:ind w:firstLine="400" w:firstLineChars="200"/>
        <w:rPr>
          <w:rFonts w:ascii="Times New Roman" w:hAnsi="Times New Roman" w:eastAsia="仿宋" w:cs="Times New Roman"/>
          <w:sz w:val="20"/>
          <w:szCs w:val="21"/>
        </w:rPr>
      </w:pPr>
    </w:p>
    <w:p w14:paraId="672B2EC3">
      <w:pPr>
        <w:snapToGrid w:val="0"/>
        <w:spacing w:line="360" w:lineRule="exact"/>
        <w:ind w:firstLine="400" w:firstLineChars="200"/>
        <w:rPr>
          <w:rFonts w:ascii="Times New Roman" w:hAnsi="Times New Roman" w:eastAsia="仿宋" w:cs="Times New Roman"/>
          <w:sz w:val="20"/>
          <w:szCs w:val="21"/>
        </w:rPr>
      </w:pPr>
    </w:p>
    <w:p w14:paraId="70AB757C">
      <w:pPr>
        <w:snapToGrid w:val="0"/>
        <w:spacing w:line="360" w:lineRule="exact"/>
        <w:ind w:firstLine="400" w:firstLineChars="200"/>
        <w:rPr>
          <w:rFonts w:ascii="Times New Roman" w:hAnsi="Times New Roman" w:eastAsia="仿宋" w:cs="Times New Roman"/>
          <w:sz w:val="20"/>
          <w:szCs w:val="21"/>
        </w:rPr>
      </w:pPr>
    </w:p>
    <w:p w14:paraId="3019DBDF">
      <w:pPr>
        <w:snapToGrid w:val="0"/>
        <w:spacing w:line="360" w:lineRule="exact"/>
        <w:ind w:firstLine="400" w:firstLineChars="200"/>
        <w:rPr>
          <w:rFonts w:ascii="Times New Roman" w:hAnsi="Times New Roman" w:eastAsia="仿宋" w:cs="Times New Roman"/>
          <w:sz w:val="20"/>
          <w:szCs w:val="21"/>
        </w:rPr>
      </w:pPr>
    </w:p>
    <w:p w14:paraId="45EB8106">
      <w:pPr>
        <w:snapToGrid w:val="0"/>
        <w:spacing w:line="360" w:lineRule="exact"/>
        <w:ind w:firstLine="400" w:firstLineChars="200"/>
        <w:rPr>
          <w:rFonts w:ascii="Times New Roman" w:hAnsi="Times New Roman" w:eastAsia="仿宋" w:cs="Times New Roman"/>
          <w:sz w:val="20"/>
          <w:szCs w:val="21"/>
        </w:rPr>
      </w:pPr>
    </w:p>
    <w:p w14:paraId="1F8F2F1E">
      <w:pPr>
        <w:snapToGrid w:val="0"/>
        <w:spacing w:line="360" w:lineRule="exact"/>
        <w:ind w:firstLine="400" w:firstLineChars="200"/>
        <w:rPr>
          <w:rFonts w:ascii="Times New Roman" w:hAnsi="Times New Roman" w:eastAsia="仿宋" w:cs="Times New Roman"/>
          <w:sz w:val="20"/>
          <w:szCs w:val="21"/>
        </w:rPr>
      </w:pPr>
    </w:p>
    <w:p w14:paraId="024B8FCD">
      <w:pPr>
        <w:snapToGrid w:val="0"/>
        <w:spacing w:line="360" w:lineRule="exact"/>
        <w:ind w:firstLine="400" w:firstLineChars="200"/>
        <w:rPr>
          <w:rFonts w:ascii="Times New Roman" w:hAnsi="Times New Roman" w:eastAsia="仿宋" w:cs="Times New Roman"/>
          <w:sz w:val="20"/>
          <w:szCs w:val="21"/>
        </w:rPr>
      </w:pPr>
    </w:p>
    <w:p w14:paraId="56D1A24B">
      <w:pPr>
        <w:snapToGrid w:val="0"/>
        <w:spacing w:line="360" w:lineRule="exact"/>
        <w:ind w:firstLine="400" w:firstLineChars="200"/>
        <w:rPr>
          <w:rFonts w:ascii="Times New Roman" w:hAnsi="Times New Roman" w:eastAsia="仿宋" w:cs="Times New Roman"/>
          <w:sz w:val="20"/>
          <w:szCs w:val="21"/>
        </w:rPr>
      </w:pPr>
    </w:p>
    <w:p w14:paraId="75A26A47">
      <w:pPr>
        <w:snapToGrid w:val="0"/>
        <w:spacing w:line="360" w:lineRule="exact"/>
        <w:ind w:firstLine="400" w:firstLineChars="200"/>
        <w:rPr>
          <w:rFonts w:ascii="Times New Roman" w:hAnsi="Times New Roman" w:eastAsia="仿宋" w:cs="Times New Roman"/>
          <w:sz w:val="20"/>
          <w:szCs w:val="21"/>
        </w:rPr>
      </w:pPr>
    </w:p>
    <w:p w14:paraId="774843D9">
      <w:pPr>
        <w:snapToGrid w:val="0"/>
        <w:spacing w:line="360" w:lineRule="exact"/>
        <w:ind w:firstLine="400" w:firstLineChars="200"/>
        <w:rPr>
          <w:rFonts w:ascii="Times New Roman" w:hAnsi="Times New Roman" w:eastAsia="仿宋" w:cs="Times New Roman"/>
          <w:sz w:val="20"/>
          <w:szCs w:val="21"/>
        </w:rPr>
      </w:pPr>
    </w:p>
    <w:p w14:paraId="38FB34B2">
      <w:pPr>
        <w:snapToGrid w:val="0"/>
        <w:spacing w:line="360" w:lineRule="exact"/>
        <w:ind w:firstLine="400" w:firstLineChars="200"/>
        <w:rPr>
          <w:rFonts w:ascii="Times New Roman" w:hAnsi="Times New Roman" w:eastAsia="仿宋" w:cs="Times New Roman"/>
          <w:sz w:val="20"/>
          <w:szCs w:val="21"/>
        </w:rPr>
      </w:pPr>
    </w:p>
    <w:p w14:paraId="1A87C9B2">
      <w:pPr>
        <w:snapToGrid w:val="0"/>
        <w:spacing w:line="360" w:lineRule="exact"/>
        <w:ind w:firstLine="400" w:firstLineChars="200"/>
        <w:rPr>
          <w:rFonts w:ascii="Times New Roman" w:hAnsi="Times New Roman" w:eastAsia="仿宋" w:cs="Times New Roman"/>
          <w:sz w:val="20"/>
          <w:szCs w:val="21"/>
        </w:rPr>
      </w:pPr>
    </w:p>
    <w:p w14:paraId="153B7DF9">
      <w:pPr>
        <w:snapToGrid w:val="0"/>
        <w:spacing w:line="360" w:lineRule="exact"/>
        <w:ind w:firstLine="400" w:firstLineChars="200"/>
        <w:rPr>
          <w:rFonts w:ascii="Times New Roman" w:hAnsi="Times New Roman" w:eastAsia="仿宋" w:cs="Times New Roman"/>
          <w:sz w:val="20"/>
          <w:szCs w:val="21"/>
        </w:rPr>
      </w:pPr>
    </w:p>
    <w:p w14:paraId="0D3100B3">
      <w:pPr>
        <w:snapToGrid w:val="0"/>
        <w:spacing w:line="360" w:lineRule="exact"/>
        <w:ind w:firstLine="400" w:firstLineChars="200"/>
        <w:rPr>
          <w:rFonts w:ascii="Times New Roman" w:hAnsi="Times New Roman" w:eastAsia="仿宋" w:cs="Times New Roman"/>
          <w:sz w:val="20"/>
          <w:szCs w:val="21"/>
        </w:rPr>
      </w:pPr>
    </w:p>
    <w:p w14:paraId="0F9956A8">
      <w:pPr>
        <w:snapToGrid w:val="0"/>
        <w:spacing w:line="360" w:lineRule="exact"/>
        <w:ind w:firstLine="400" w:firstLineChars="200"/>
        <w:rPr>
          <w:rFonts w:ascii="Times New Roman" w:hAnsi="Times New Roman" w:eastAsia="仿宋" w:cs="Times New Roman"/>
          <w:sz w:val="20"/>
          <w:szCs w:val="21"/>
        </w:rPr>
      </w:pPr>
    </w:p>
    <w:tbl>
      <w:tblPr>
        <w:tblStyle w:val="144"/>
        <w:tblW w:w="53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53"/>
      </w:tblGrid>
      <w:tr w14:paraId="66BA2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jc w:val="center"/>
        </w:trPr>
        <w:tc>
          <w:tcPr>
            <w:tcW w:w="5353" w:type="dxa"/>
            <w:vAlign w:val="center"/>
          </w:tcPr>
          <w:p w14:paraId="3E12F431">
            <w:pPr>
              <w:snapToGrid w:val="0"/>
              <w:spacing w:line="360" w:lineRule="exact"/>
              <w:jc w:val="center"/>
              <w:rPr>
                <w:rFonts w:ascii="Times New Roman" w:hAnsi="Times New Roman" w:eastAsia="楷体" w:cs="Times New Roman"/>
                <w:b/>
                <w:kern w:val="0"/>
                <w:sz w:val="22"/>
                <w:szCs w:val="22"/>
              </w:rPr>
            </w:pPr>
            <w:r>
              <w:rPr>
                <w:rFonts w:ascii="Times New Roman" w:hAnsi="Times New Roman" w:eastAsia="楷体" w:cs="Times New Roman"/>
                <w:b/>
                <w:kern w:val="0"/>
                <w:sz w:val="22"/>
                <w:szCs w:val="22"/>
              </w:rPr>
              <w:t>For information on investment projects, preferential policies, and more, please follow us.</w:t>
            </w:r>
          </w:p>
          <w:p w14:paraId="476C1E79">
            <w:pPr>
              <w:snapToGrid w:val="0"/>
              <w:spacing w:line="360" w:lineRule="exact"/>
              <w:jc w:val="center"/>
              <w:rPr>
                <w:rFonts w:ascii="Times New Roman" w:hAnsi="Times New Roman" w:eastAsia="楷体" w:cs="Times New Roman"/>
                <w:b/>
                <w:kern w:val="0"/>
                <w:sz w:val="21"/>
                <w:szCs w:val="21"/>
              </w:rPr>
            </w:pPr>
            <w:r>
              <w:rPr>
                <w:rFonts w:ascii="Times New Roman" w:hAnsi="Times New Roman" w:eastAsia="楷体" w:cs="Times New Roman"/>
                <w:b/>
                <w:kern w:val="0"/>
                <w:sz w:val="22"/>
                <w:szCs w:val="22"/>
              </w:rPr>
              <w:t>(See back cover)</w:t>
            </w:r>
          </w:p>
        </w:tc>
      </w:tr>
    </w:tbl>
    <w:p w14:paraId="76433914">
      <w:pPr>
        <w:snapToGrid w:val="0"/>
        <w:spacing w:line="360" w:lineRule="exact"/>
        <w:rPr>
          <w:rFonts w:ascii="Times New Roman" w:hAnsi="Times New Roman" w:eastAsia="仿宋" w:cs="Times New Roman"/>
          <w:sz w:val="20"/>
          <w:szCs w:val="21"/>
        </w:rPr>
      </w:pPr>
    </w:p>
    <w:p w14:paraId="5C4E6AB5">
      <w:pPr>
        <w:rPr>
          <w:rFonts w:ascii="Times New Roman" w:hAnsi="Times New Roman" w:cs="Times New Roman"/>
          <w:sz w:val="18"/>
          <w:szCs w:val="20"/>
        </w:rPr>
      </w:pPr>
    </w:p>
    <w:p w14:paraId="74F5EB67">
      <w:pPr>
        <w:rPr>
          <w:rFonts w:ascii="Times New Roman" w:hAnsi="Times New Roman" w:cs="Times New Roman"/>
          <w:sz w:val="18"/>
          <w:szCs w:val="20"/>
        </w:rPr>
      </w:pPr>
    </w:p>
    <w:p w14:paraId="1FB4A28A">
      <w:pPr>
        <w:widowControl/>
        <w:jc w:val="left"/>
        <w:rPr>
          <w:rFonts w:ascii="Times New Roman" w:hAnsi="Times New Roman" w:cs="Times New Roman"/>
          <w:sz w:val="18"/>
          <w:szCs w:val="20"/>
        </w:rPr>
      </w:pPr>
      <w:r>
        <w:rPr>
          <w:rFonts w:ascii="Times New Roman" w:hAnsi="Times New Roman" w:cs="Times New Roman"/>
          <w:sz w:val="18"/>
          <w:szCs w:val="20"/>
        </w:rPr>
        <w:br w:type="page"/>
      </w:r>
    </w:p>
    <w:p w14:paraId="0E85E762">
      <w:pPr>
        <w:snapToGrid w:val="0"/>
        <w:spacing w:afterLines="100" w:line="360" w:lineRule="exact"/>
        <w:jc w:val="center"/>
        <w:outlineLvl w:val="0"/>
        <w:rPr>
          <w:rFonts w:ascii="Times New Roman" w:hAnsi="Times New Roman" w:eastAsia="仿宋" w:cs="Times New Roman"/>
          <w:b/>
          <w:bCs/>
          <w:sz w:val="28"/>
          <w:szCs w:val="28"/>
        </w:rPr>
      </w:pPr>
      <w:bookmarkStart w:id="227" w:name="_Toc163910380"/>
      <w:r>
        <w:rPr>
          <w:rFonts w:ascii="Times New Roman" w:hAnsi="Times New Roman" w:eastAsia="仿宋" w:cs="Times New Roman"/>
          <w:b/>
          <w:bCs/>
          <w:sz w:val="28"/>
          <w:szCs w:val="28"/>
        </w:rPr>
        <w:t>V. Contact List</w:t>
      </w:r>
      <w:bookmarkEnd w:id="227"/>
    </w:p>
    <w:p w14:paraId="366702D6">
      <w:pPr>
        <w:adjustRightInd w:val="0"/>
        <w:snapToGrid w:val="0"/>
        <w:spacing w:beforeLines="50"/>
        <w:jc w:val="center"/>
        <w:rPr>
          <w:rFonts w:ascii="Times New Roman" w:hAnsi="Times New Roman" w:eastAsia="黑体" w:cs="Times New Roman"/>
          <w:b/>
          <w:bCs/>
          <w:sz w:val="18"/>
          <w:szCs w:val="18"/>
        </w:rPr>
      </w:pPr>
      <w:r>
        <w:rPr>
          <w:rFonts w:ascii="Times New Roman" w:hAnsi="Times New Roman" w:eastAsia="黑体" w:cs="Times New Roman"/>
          <w:b/>
          <w:bCs/>
          <w:sz w:val="18"/>
          <w:szCs w:val="18"/>
        </w:rPr>
        <w:t>Contact List of 14 cities in Hunan</w:t>
      </w:r>
    </w:p>
    <w:tbl>
      <w:tblPr>
        <w:tblStyle w:val="31"/>
        <w:tblpPr w:leftFromText="180" w:rightFromText="180" w:vertAnchor="text" w:tblpXSpec="center" w:tblpY="1"/>
        <w:tblOverlap w:val="never"/>
        <w:tblW w:w="0" w:type="auto"/>
        <w:tblInd w:w="0"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6"/>
        <w:gridCol w:w="3001"/>
        <w:gridCol w:w="1281"/>
        <w:gridCol w:w="1338"/>
      </w:tblGrid>
      <w:tr w14:paraId="373B2E55">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8" w:hRule="atLeast"/>
          <w:tblHeader/>
        </w:trPr>
        <w:tc>
          <w:tcPr>
            <w:tcW w:w="0" w:type="auto"/>
            <w:tcBorders>
              <w:top w:val="single" w:color="000000" w:sz="4" w:space="0"/>
              <w:bottom w:val="single" w:color="000000" w:sz="4" w:space="0"/>
            </w:tcBorders>
            <w:shd w:val="clear" w:color="auto" w:fill="auto"/>
            <w:noWrap/>
            <w:vAlign w:val="center"/>
          </w:tcPr>
          <w:p w14:paraId="2473AF80">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No．</w:t>
            </w:r>
          </w:p>
        </w:tc>
        <w:tc>
          <w:tcPr>
            <w:tcW w:w="0" w:type="auto"/>
            <w:tcBorders>
              <w:top w:val="single" w:color="000000" w:sz="4" w:space="0"/>
              <w:bottom w:val="single" w:color="000000" w:sz="4" w:space="0"/>
            </w:tcBorders>
            <w:shd w:val="clear" w:color="auto" w:fill="auto"/>
            <w:noWrap/>
            <w:vAlign w:val="center"/>
          </w:tcPr>
          <w:p w14:paraId="327DDF73">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Agency</w:t>
            </w:r>
          </w:p>
        </w:tc>
        <w:tc>
          <w:tcPr>
            <w:tcW w:w="0" w:type="auto"/>
            <w:tcBorders>
              <w:top w:val="single" w:color="000000" w:sz="4" w:space="0"/>
              <w:bottom w:val="single" w:color="000000" w:sz="4" w:space="0"/>
            </w:tcBorders>
            <w:shd w:val="clear" w:color="auto" w:fill="auto"/>
            <w:noWrap/>
            <w:vAlign w:val="center"/>
          </w:tcPr>
          <w:p w14:paraId="2B92CE80">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Contact</w:t>
            </w:r>
          </w:p>
        </w:tc>
        <w:tc>
          <w:tcPr>
            <w:tcW w:w="0" w:type="auto"/>
            <w:tcBorders>
              <w:top w:val="single" w:color="000000" w:sz="4" w:space="0"/>
              <w:bottom w:val="single" w:color="000000" w:sz="4" w:space="0"/>
            </w:tcBorders>
            <w:shd w:val="clear" w:color="auto" w:fill="auto"/>
            <w:noWrap/>
            <w:vAlign w:val="center"/>
          </w:tcPr>
          <w:p w14:paraId="30DF14DC">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Tel</w:t>
            </w:r>
          </w:p>
        </w:tc>
      </w:tr>
      <w:tr w14:paraId="3BC0CE49">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tcBorders>
              <w:top w:val="single" w:color="000000" w:sz="4" w:space="0"/>
            </w:tcBorders>
            <w:shd w:val="clear" w:color="auto" w:fill="auto"/>
            <w:noWrap/>
            <w:vAlign w:val="center"/>
          </w:tcPr>
          <w:p w14:paraId="47127979">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1</w:t>
            </w:r>
          </w:p>
        </w:tc>
        <w:tc>
          <w:tcPr>
            <w:tcW w:w="0" w:type="auto"/>
            <w:tcBorders>
              <w:top w:val="single" w:color="000000" w:sz="4" w:space="0"/>
            </w:tcBorders>
            <w:shd w:val="clear" w:color="auto" w:fill="auto"/>
            <w:noWrap/>
            <w:vAlign w:val="center"/>
          </w:tcPr>
          <w:p w14:paraId="73CDC0D0">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Changsha Investment Promotion Center</w:t>
            </w:r>
          </w:p>
        </w:tc>
        <w:tc>
          <w:tcPr>
            <w:tcW w:w="0" w:type="auto"/>
            <w:tcBorders>
              <w:top w:val="single" w:color="000000" w:sz="4" w:space="0"/>
            </w:tcBorders>
            <w:shd w:val="clear" w:color="auto" w:fill="auto"/>
            <w:noWrap/>
            <w:vAlign w:val="center"/>
          </w:tcPr>
          <w:p w14:paraId="3701CAE3">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Xu Mina</w:t>
            </w:r>
          </w:p>
        </w:tc>
        <w:tc>
          <w:tcPr>
            <w:tcW w:w="0" w:type="auto"/>
            <w:tcBorders>
              <w:top w:val="single" w:color="000000" w:sz="4" w:space="0"/>
            </w:tcBorders>
            <w:shd w:val="clear" w:color="auto" w:fill="auto"/>
            <w:noWrap/>
            <w:vAlign w:val="center"/>
          </w:tcPr>
          <w:p w14:paraId="25E12DE2">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+86-13875927576</w:t>
            </w:r>
          </w:p>
        </w:tc>
      </w:tr>
      <w:tr w14:paraId="3BE8812D">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0495834E">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2</w:t>
            </w:r>
          </w:p>
        </w:tc>
        <w:tc>
          <w:tcPr>
            <w:tcW w:w="0" w:type="auto"/>
            <w:shd w:val="clear" w:color="auto" w:fill="auto"/>
            <w:noWrap/>
            <w:vAlign w:val="center"/>
          </w:tcPr>
          <w:p w14:paraId="53EF5C22">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Hengyang Investment Promotion Center</w:t>
            </w:r>
          </w:p>
        </w:tc>
        <w:tc>
          <w:tcPr>
            <w:tcW w:w="0" w:type="auto"/>
            <w:shd w:val="clear" w:color="auto" w:fill="auto"/>
            <w:noWrap/>
            <w:vAlign w:val="center"/>
          </w:tcPr>
          <w:p w14:paraId="5B04F625">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Yang Hanqiu</w:t>
            </w:r>
          </w:p>
        </w:tc>
        <w:tc>
          <w:tcPr>
            <w:tcW w:w="0" w:type="auto"/>
            <w:shd w:val="clear" w:color="auto" w:fill="auto"/>
            <w:noWrap/>
            <w:vAlign w:val="center"/>
          </w:tcPr>
          <w:p w14:paraId="185ADE98">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+86-18673411169</w:t>
            </w:r>
          </w:p>
        </w:tc>
      </w:tr>
      <w:tr w14:paraId="2DFD338C">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3F7CC4C5">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3</w:t>
            </w:r>
          </w:p>
        </w:tc>
        <w:tc>
          <w:tcPr>
            <w:tcW w:w="0" w:type="auto"/>
            <w:shd w:val="clear" w:color="auto" w:fill="auto"/>
            <w:noWrap/>
            <w:vAlign w:val="center"/>
          </w:tcPr>
          <w:p w14:paraId="0FDB124B">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Zhuzhou Commercial Affairs Center</w:t>
            </w:r>
          </w:p>
        </w:tc>
        <w:tc>
          <w:tcPr>
            <w:tcW w:w="0" w:type="auto"/>
            <w:shd w:val="clear" w:color="auto" w:fill="auto"/>
            <w:noWrap/>
            <w:vAlign w:val="center"/>
          </w:tcPr>
          <w:p w14:paraId="7968E045">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Zhang Diefei</w:t>
            </w:r>
          </w:p>
        </w:tc>
        <w:tc>
          <w:tcPr>
            <w:tcW w:w="0" w:type="auto"/>
            <w:shd w:val="clear" w:color="auto" w:fill="auto"/>
            <w:noWrap/>
            <w:vAlign w:val="center"/>
          </w:tcPr>
          <w:p w14:paraId="6CFB3D33">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+86-18607419156</w:t>
            </w:r>
          </w:p>
        </w:tc>
      </w:tr>
      <w:tr w14:paraId="528E55DB">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447295D9">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4</w:t>
            </w:r>
          </w:p>
        </w:tc>
        <w:tc>
          <w:tcPr>
            <w:tcW w:w="0" w:type="auto"/>
            <w:shd w:val="clear" w:color="auto" w:fill="auto"/>
            <w:noWrap/>
            <w:vAlign w:val="center"/>
          </w:tcPr>
          <w:p w14:paraId="7CC56BB4">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Xiangtan Investment Promotion Center</w:t>
            </w:r>
          </w:p>
        </w:tc>
        <w:tc>
          <w:tcPr>
            <w:tcW w:w="0" w:type="auto"/>
            <w:shd w:val="clear" w:color="auto" w:fill="auto"/>
            <w:noWrap/>
            <w:vAlign w:val="center"/>
          </w:tcPr>
          <w:p w14:paraId="12EED3B5">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Mao Yaqian</w:t>
            </w:r>
          </w:p>
        </w:tc>
        <w:tc>
          <w:tcPr>
            <w:tcW w:w="0" w:type="auto"/>
            <w:shd w:val="clear" w:color="auto" w:fill="auto"/>
            <w:noWrap/>
            <w:vAlign w:val="center"/>
          </w:tcPr>
          <w:p w14:paraId="109EA5E8">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+86-13873245028</w:t>
            </w:r>
          </w:p>
        </w:tc>
      </w:tr>
      <w:tr w14:paraId="136D55C6">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663BDCCA">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5</w:t>
            </w:r>
          </w:p>
        </w:tc>
        <w:tc>
          <w:tcPr>
            <w:tcW w:w="0" w:type="auto"/>
            <w:shd w:val="clear" w:color="auto" w:fill="auto"/>
            <w:noWrap/>
            <w:vAlign w:val="center"/>
          </w:tcPr>
          <w:p w14:paraId="1EB987F3">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Shaoyang Investment Promotion Center</w:t>
            </w:r>
          </w:p>
        </w:tc>
        <w:tc>
          <w:tcPr>
            <w:tcW w:w="0" w:type="auto"/>
            <w:shd w:val="clear" w:color="auto" w:fill="auto"/>
            <w:noWrap/>
            <w:vAlign w:val="center"/>
          </w:tcPr>
          <w:p w14:paraId="1514CBFC">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Zhang Yan</w:t>
            </w:r>
          </w:p>
        </w:tc>
        <w:tc>
          <w:tcPr>
            <w:tcW w:w="0" w:type="auto"/>
            <w:shd w:val="clear" w:color="auto" w:fill="auto"/>
            <w:noWrap/>
            <w:vAlign w:val="center"/>
          </w:tcPr>
          <w:p w14:paraId="29FE2E57">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+86-15197921234</w:t>
            </w:r>
          </w:p>
        </w:tc>
      </w:tr>
      <w:tr w14:paraId="65EE8FAA">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748DDFAD">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6</w:t>
            </w:r>
          </w:p>
        </w:tc>
        <w:tc>
          <w:tcPr>
            <w:tcW w:w="0" w:type="auto"/>
            <w:shd w:val="clear" w:color="auto" w:fill="auto"/>
            <w:noWrap/>
            <w:vAlign w:val="center"/>
          </w:tcPr>
          <w:p w14:paraId="7199E330">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Yueyang Investment Promotion Center</w:t>
            </w:r>
          </w:p>
        </w:tc>
        <w:tc>
          <w:tcPr>
            <w:tcW w:w="0" w:type="auto"/>
            <w:shd w:val="clear" w:color="auto" w:fill="auto"/>
            <w:noWrap/>
            <w:vAlign w:val="center"/>
          </w:tcPr>
          <w:p w14:paraId="324222C3">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Li Min</w:t>
            </w:r>
          </w:p>
        </w:tc>
        <w:tc>
          <w:tcPr>
            <w:tcW w:w="0" w:type="auto"/>
            <w:shd w:val="clear" w:color="auto" w:fill="auto"/>
            <w:noWrap/>
            <w:vAlign w:val="center"/>
          </w:tcPr>
          <w:p w14:paraId="30DD56B2">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+86-13873016586</w:t>
            </w:r>
          </w:p>
        </w:tc>
      </w:tr>
      <w:tr w14:paraId="6BBCB71B">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11778D22">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7</w:t>
            </w:r>
          </w:p>
        </w:tc>
        <w:tc>
          <w:tcPr>
            <w:tcW w:w="0" w:type="auto"/>
            <w:shd w:val="clear" w:color="auto" w:fill="auto"/>
            <w:noWrap/>
            <w:vAlign w:val="center"/>
          </w:tcPr>
          <w:p w14:paraId="5269E581">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Changde Investment Promotion Center</w:t>
            </w:r>
          </w:p>
        </w:tc>
        <w:tc>
          <w:tcPr>
            <w:tcW w:w="0" w:type="auto"/>
            <w:shd w:val="clear" w:color="auto" w:fill="auto"/>
            <w:noWrap/>
            <w:vAlign w:val="center"/>
          </w:tcPr>
          <w:p w14:paraId="349E4C14">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Tu Yimei</w:t>
            </w:r>
          </w:p>
        </w:tc>
        <w:tc>
          <w:tcPr>
            <w:tcW w:w="0" w:type="auto"/>
            <w:shd w:val="clear" w:color="auto" w:fill="auto"/>
            <w:noWrap/>
            <w:vAlign w:val="center"/>
          </w:tcPr>
          <w:p w14:paraId="3F8BA57A">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+86-13875079228</w:t>
            </w:r>
          </w:p>
        </w:tc>
      </w:tr>
      <w:tr w14:paraId="1C89D908">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01598990">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w:t>
            </w:r>
          </w:p>
        </w:tc>
        <w:tc>
          <w:tcPr>
            <w:tcW w:w="0" w:type="auto"/>
            <w:shd w:val="clear" w:color="auto" w:fill="auto"/>
            <w:noWrap/>
            <w:vAlign w:val="center"/>
          </w:tcPr>
          <w:p w14:paraId="07AE5DC1">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Yiyang Investment Promotion Center</w:t>
            </w:r>
          </w:p>
        </w:tc>
        <w:tc>
          <w:tcPr>
            <w:tcW w:w="0" w:type="auto"/>
            <w:shd w:val="clear" w:color="auto" w:fill="auto"/>
            <w:noWrap/>
            <w:vAlign w:val="center"/>
          </w:tcPr>
          <w:p w14:paraId="074806CC">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Yao Yuan</w:t>
            </w:r>
          </w:p>
        </w:tc>
        <w:tc>
          <w:tcPr>
            <w:tcW w:w="0" w:type="auto"/>
            <w:shd w:val="clear" w:color="auto" w:fill="auto"/>
            <w:noWrap/>
            <w:vAlign w:val="center"/>
          </w:tcPr>
          <w:p w14:paraId="0F933544">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+86-19974450991</w:t>
            </w:r>
          </w:p>
        </w:tc>
      </w:tr>
      <w:tr w14:paraId="4ECE09C7">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1347BDB0">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9</w:t>
            </w:r>
          </w:p>
        </w:tc>
        <w:tc>
          <w:tcPr>
            <w:tcW w:w="0" w:type="auto"/>
            <w:shd w:val="clear" w:color="auto" w:fill="auto"/>
            <w:noWrap/>
            <w:vAlign w:val="center"/>
          </w:tcPr>
          <w:p w14:paraId="4A378DA1">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Zhangjiajie Investment Promotion Center</w:t>
            </w:r>
          </w:p>
        </w:tc>
        <w:tc>
          <w:tcPr>
            <w:tcW w:w="0" w:type="auto"/>
            <w:shd w:val="clear" w:color="auto" w:fill="auto"/>
            <w:noWrap/>
            <w:vAlign w:val="center"/>
          </w:tcPr>
          <w:p w14:paraId="402C2725">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Quan Jieqiong</w:t>
            </w:r>
          </w:p>
        </w:tc>
        <w:tc>
          <w:tcPr>
            <w:tcW w:w="0" w:type="auto"/>
            <w:shd w:val="clear" w:color="auto" w:fill="auto"/>
            <w:noWrap/>
            <w:vAlign w:val="center"/>
          </w:tcPr>
          <w:p w14:paraId="62D79F26">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+86-15974421008</w:t>
            </w:r>
          </w:p>
        </w:tc>
      </w:tr>
      <w:tr w14:paraId="55071E65">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3C8A4BAA">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10</w:t>
            </w:r>
          </w:p>
        </w:tc>
        <w:tc>
          <w:tcPr>
            <w:tcW w:w="0" w:type="auto"/>
            <w:shd w:val="clear" w:color="auto" w:fill="auto"/>
            <w:noWrap/>
            <w:vAlign w:val="center"/>
          </w:tcPr>
          <w:p w14:paraId="0195607D">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Chenzhou Investment Promotion Center</w:t>
            </w:r>
          </w:p>
        </w:tc>
        <w:tc>
          <w:tcPr>
            <w:tcW w:w="0" w:type="auto"/>
            <w:shd w:val="clear" w:color="auto" w:fill="auto"/>
            <w:noWrap/>
            <w:vAlign w:val="center"/>
          </w:tcPr>
          <w:p w14:paraId="7C3B0720">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Yang Bin</w:t>
            </w:r>
          </w:p>
        </w:tc>
        <w:tc>
          <w:tcPr>
            <w:tcW w:w="0" w:type="auto"/>
            <w:shd w:val="clear" w:color="auto" w:fill="auto"/>
            <w:noWrap/>
            <w:vAlign w:val="center"/>
          </w:tcPr>
          <w:p w14:paraId="32389B9C">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+86-18973520356</w:t>
            </w:r>
          </w:p>
        </w:tc>
      </w:tr>
      <w:tr w14:paraId="72EDD109">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06B7508D">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11</w:t>
            </w:r>
          </w:p>
        </w:tc>
        <w:tc>
          <w:tcPr>
            <w:tcW w:w="0" w:type="auto"/>
            <w:shd w:val="clear" w:color="auto" w:fill="auto"/>
            <w:noWrap/>
            <w:vAlign w:val="center"/>
          </w:tcPr>
          <w:p w14:paraId="52A87E3E">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Yongzhou Investment Promotion Bureau</w:t>
            </w:r>
          </w:p>
        </w:tc>
        <w:tc>
          <w:tcPr>
            <w:tcW w:w="0" w:type="auto"/>
            <w:shd w:val="clear" w:color="auto" w:fill="auto"/>
            <w:noWrap/>
            <w:vAlign w:val="center"/>
          </w:tcPr>
          <w:p w14:paraId="14705769">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Zuo Yating</w:t>
            </w:r>
          </w:p>
        </w:tc>
        <w:tc>
          <w:tcPr>
            <w:tcW w:w="0" w:type="auto"/>
            <w:shd w:val="clear" w:color="auto" w:fill="auto"/>
            <w:noWrap/>
            <w:vAlign w:val="center"/>
          </w:tcPr>
          <w:p w14:paraId="643AE04D">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+86-13874672227</w:t>
            </w:r>
          </w:p>
        </w:tc>
      </w:tr>
      <w:tr w14:paraId="3E86B769">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03FBC00D">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12</w:t>
            </w:r>
          </w:p>
        </w:tc>
        <w:tc>
          <w:tcPr>
            <w:tcW w:w="0" w:type="auto"/>
            <w:shd w:val="clear" w:color="auto" w:fill="auto"/>
            <w:noWrap/>
            <w:vAlign w:val="center"/>
          </w:tcPr>
          <w:p w14:paraId="7B49BD4E">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Huaihua Investment Promotion Center</w:t>
            </w:r>
          </w:p>
        </w:tc>
        <w:tc>
          <w:tcPr>
            <w:tcW w:w="0" w:type="auto"/>
            <w:shd w:val="clear" w:color="auto" w:fill="auto"/>
            <w:noWrap/>
            <w:vAlign w:val="center"/>
          </w:tcPr>
          <w:p w14:paraId="393D4BE6">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Ouyang Hongwei</w:t>
            </w:r>
          </w:p>
        </w:tc>
        <w:tc>
          <w:tcPr>
            <w:tcW w:w="0" w:type="auto"/>
            <w:shd w:val="clear" w:color="auto" w:fill="auto"/>
            <w:noWrap/>
            <w:vAlign w:val="center"/>
          </w:tcPr>
          <w:p w14:paraId="4B06CBA7">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+86-18175811126</w:t>
            </w:r>
          </w:p>
        </w:tc>
      </w:tr>
      <w:tr w14:paraId="691F91E5">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1EF32CB8">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13</w:t>
            </w:r>
          </w:p>
        </w:tc>
        <w:tc>
          <w:tcPr>
            <w:tcW w:w="0" w:type="auto"/>
            <w:shd w:val="clear" w:color="auto" w:fill="auto"/>
            <w:noWrap/>
            <w:vAlign w:val="center"/>
          </w:tcPr>
          <w:p w14:paraId="1F0E990E">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Loudi Investment Promotion Center</w:t>
            </w:r>
          </w:p>
        </w:tc>
        <w:tc>
          <w:tcPr>
            <w:tcW w:w="0" w:type="auto"/>
            <w:shd w:val="clear" w:color="auto" w:fill="auto"/>
            <w:noWrap/>
            <w:vAlign w:val="center"/>
          </w:tcPr>
          <w:p w14:paraId="4928A092">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Peng Haiming</w:t>
            </w:r>
          </w:p>
        </w:tc>
        <w:tc>
          <w:tcPr>
            <w:tcW w:w="0" w:type="auto"/>
            <w:shd w:val="clear" w:color="auto" w:fill="auto"/>
            <w:noWrap/>
            <w:vAlign w:val="center"/>
          </w:tcPr>
          <w:p w14:paraId="342D5E18">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+86-13973809397</w:t>
            </w:r>
          </w:p>
        </w:tc>
      </w:tr>
      <w:tr w14:paraId="61D2E040">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trPr>
        <w:tc>
          <w:tcPr>
            <w:tcW w:w="0" w:type="auto"/>
            <w:shd w:val="clear" w:color="auto" w:fill="auto"/>
            <w:noWrap/>
            <w:vAlign w:val="center"/>
          </w:tcPr>
          <w:p w14:paraId="47B37843">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14</w:t>
            </w:r>
          </w:p>
        </w:tc>
        <w:tc>
          <w:tcPr>
            <w:tcW w:w="0" w:type="auto"/>
            <w:shd w:val="clear" w:color="auto" w:fill="auto"/>
            <w:noWrap/>
            <w:vAlign w:val="center"/>
          </w:tcPr>
          <w:p w14:paraId="3E4748A4">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Xiangxi Investment Promotion Center</w:t>
            </w:r>
          </w:p>
        </w:tc>
        <w:tc>
          <w:tcPr>
            <w:tcW w:w="0" w:type="auto"/>
            <w:shd w:val="clear" w:color="auto" w:fill="auto"/>
            <w:noWrap/>
            <w:vAlign w:val="center"/>
          </w:tcPr>
          <w:p w14:paraId="3A87186B">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Yang Yanling</w:t>
            </w:r>
          </w:p>
        </w:tc>
        <w:tc>
          <w:tcPr>
            <w:tcW w:w="0" w:type="auto"/>
            <w:shd w:val="clear" w:color="auto" w:fill="auto"/>
            <w:noWrap/>
            <w:vAlign w:val="center"/>
          </w:tcPr>
          <w:p w14:paraId="5126CEAB">
            <w:pPr>
              <w:snapToGrid w:val="0"/>
              <w:ind w:left="-105" w:leftChars="-50" w:right="-105" w:rightChars="-50"/>
              <w:jc w:val="center"/>
              <w:rPr>
                <w:rFonts w:ascii="Times New Roman" w:hAnsi="Times New Roman" w:eastAsia="仿宋" w:cs="Times New Roman"/>
                <w:sz w:val="18"/>
                <w:szCs w:val="18"/>
              </w:rPr>
            </w:pPr>
            <w:r>
              <w:rPr>
                <w:rFonts w:ascii="Times New Roman" w:hAnsi="Times New Roman" w:eastAsia="仿宋" w:cs="Times New Roman"/>
                <w:sz w:val="18"/>
                <w:szCs w:val="18"/>
              </w:rPr>
              <w:t>+86-13574317545</w:t>
            </w:r>
          </w:p>
        </w:tc>
      </w:tr>
    </w:tbl>
    <w:p w14:paraId="66A7A32F">
      <w:pPr>
        <w:snapToGrid w:val="0"/>
        <w:spacing w:line="360" w:lineRule="exact"/>
        <w:rPr>
          <w:rFonts w:ascii="Times New Roman" w:hAnsi="Times New Roman" w:eastAsia="仿宋" w:cs="Times New Roman"/>
          <w:sz w:val="20"/>
          <w:szCs w:val="21"/>
        </w:rPr>
        <w:sectPr>
          <w:headerReference r:id="rId37" w:type="default"/>
          <w:pgSz w:w="8391" w:h="11907"/>
          <w:pgMar w:top="1440" w:right="1080" w:bottom="1440" w:left="1080" w:header="680" w:footer="992" w:gutter="0"/>
          <w:cols w:space="720" w:num="1"/>
          <w:docGrid w:type="lines" w:linePitch="381" w:charSpace="0"/>
        </w:sectPr>
      </w:pPr>
    </w:p>
    <w:p w14:paraId="3378CB78">
      <w:pPr>
        <w:adjustRightInd w:val="0"/>
        <w:snapToGrid w:val="0"/>
        <w:jc w:val="center"/>
        <w:rPr>
          <w:rFonts w:ascii="Times New Roman" w:hAnsi="Times New Roman" w:eastAsia="黑体" w:cs="Times New Roman"/>
          <w:b/>
          <w:bCs/>
          <w:sz w:val="18"/>
          <w:szCs w:val="18"/>
        </w:rPr>
      </w:pPr>
      <w:r>
        <w:rPr>
          <w:rFonts w:ascii="Times New Roman" w:hAnsi="Times New Roman" w:eastAsia="黑体" w:cs="Times New Roman"/>
          <w:b/>
          <w:bCs/>
          <w:sz w:val="18"/>
          <w:szCs w:val="18"/>
        </w:rPr>
        <w:t>Contact List of Ten National ETDZs</w:t>
      </w:r>
    </w:p>
    <w:tbl>
      <w:tblPr>
        <w:tblStyle w:val="31"/>
        <w:tblW w:w="5000" w:type="pct"/>
        <w:jc w:val="center"/>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55"/>
        <w:gridCol w:w="2130"/>
        <w:gridCol w:w="1556"/>
        <w:gridCol w:w="2106"/>
      </w:tblGrid>
      <w:tr w14:paraId="205EA262">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tcBorders>
              <w:top w:val="single" w:color="000000" w:sz="4" w:space="0"/>
              <w:bottom w:val="single" w:color="000000" w:sz="4" w:space="0"/>
            </w:tcBorders>
            <w:shd w:val="clear" w:color="auto" w:fill="auto"/>
            <w:noWrap/>
            <w:vAlign w:val="center"/>
          </w:tcPr>
          <w:p w14:paraId="0119165C">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No.</w:t>
            </w:r>
          </w:p>
        </w:tc>
        <w:tc>
          <w:tcPr>
            <w:tcW w:w="1652" w:type="pct"/>
            <w:tcBorders>
              <w:top w:val="single" w:color="000000" w:sz="4" w:space="0"/>
              <w:bottom w:val="single" w:color="000000" w:sz="4" w:space="0"/>
            </w:tcBorders>
            <w:shd w:val="clear" w:color="auto" w:fill="auto"/>
            <w:noWrap/>
            <w:vAlign w:val="center"/>
          </w:tcPr>
          <w:p w14:paraId="1DECF19C">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Agency</w:t>
            </w:r>
          </w:p>
        </w:tc>
        <w:tc>
          <w:tcPr>
            <w:tcW w:w="1207" w:type="pct"/>
            <w:tcBorders>
              <w:top w:val="single" w:color="000000" w:sz="4" w:space="0"/>
              <w:bottom w:val="single" w:color="000000" w:sz="4" w:space="0"/>
            </w:tcBorders>
            <w:shd w:val="clear" w:color="auto" w:fill="auto"/>
            <w:noWrap/>
            <w:vAlign w:val="center"/>
          </w:tcPr>
          <w:p w14:paraId="2E918833">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Contact</w:t>
            </w:r>
          </w:p>
        </w:tc>
        <w:tc>
          <w:tcPr>
            <w:tcW w:w="1633" w:type="pct"/>
            <w:tcBorders>
              <w:top w:val="single" w:color="000000" w:sz="4" w:space="0"/>
              <w:bottom w:val="single" w:color="000000" w:sz="4" w:space="0"/>
            </w:tcBorders>
            <w:shd w:val="clear" w:color="auto" w:fill="auto"/>
            <w:noWrap/>
            <w:vAlign w:val="center"/>
          </w:tcPr>
          <w:p w14:paraId="429A7324">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Tel.</w:t>
            </w:r>
          </w:p>
        </w:tc>
      </w:tr>
      <w:tr w14:paraId="3F51AF4C">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tcBorders>
              <w:top w:val="single" w:color="000000" w:sz="4" w:space="0"/>
            </w:tcBorders>
            <w:shd w:val="clear" w:color="auto" w:fill="auto"/>
            <w:noWrap/>
            <w:vAlign w:val="center"/>
          </w:tcPr>
          <w:p w14:paraId="1E414545">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1</w:t>
            </w:r>
          </w:p>
        </w:tc>
        <w:tc>
          <w:tcPr>
            <w:tcW w:w="1652" w:type="pct"/>
            <w:tcBorders>
              <w:top w:val="single" w:color="000000" w:sz="4" w:space="0"/>
            </w:tcBorders>
            <w:shd w:val="clear" w:color="auto" w:fill="auto"/>
            <w:noWrap/>
            <w:vAlign w:val="center"/>
          </w:tcPr>
          <w:p w14:paraId="0A30931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shd w:val="clear" w:color="auto" w:fill="FFFFFF"/>
              </w:rPr>
              <w:t>Changsha ETDZ</w:t>
            </w:r>
          </w:p>
        </w:tc>
        <w:tc>
          <w:tcPr>
            <w:tcW w:w="1207" w:type="pct"/>
            <w:tcBorders>
              <w:top w:val="single" w:color="000000" w:sz="4" w:space="0"/>
            </w:tcBorders>
            <w:shd w:val="clear" w:color="auto" w:fill="auto"/>
            <w:noWrap/>
            <w:vAlign w:val="center"/>
          </w:tcPr>
          <w:p w14:paraId="721A2B61">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Yuan Ming</w:t>
            </w:r>
          </w:p>
        </w:tc>
        <w:tc>
          <w:tcPr>
            <w:tcW w:w="1633" w:type="pct"/>
            <w:tcBorders>
              <w:top w:val="single" w:color="000000" w:sz="4" w:space="0"/>
            </w:tcBorders>
            <w:shd w:val="clear" w:color="auto" w:fill="auto"/>
            <w:noWrap/>
            <w:vAlign w:val="center"/>
          </w:tcPr>
          <w:p w14:paraId="172C82F3">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+86-13875843100</w:t>
            </w:r>
          </w:p>
        </w:tc>
      </w:tr>
      <w:tr w14:paraId="43D74282">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shd w:val="clear" w:color="auto" w:fill="auto"/>
            <w:noWrap/>
            <w:vAlign w:val="center"/>
          </w:tcPr>
          <w:p w14:paraId="6259E900">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2</w:t>
            </w:r>
          </w:p>
        </w:tc>
        <w:tc>
          <w:tcPr>
            <w:tcW w:w="1652" w:type="pct"/>
            <w:shd w:val="clear" w:color="auto" w:fill="auto"/>
            <w:noWrap/>
            <w:vAlign w:val="center"/>
          </w:tcPr>
          <w:p w14:paraId="7D6D5FB1">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Wangcheng</w:t>
            </w:r>
            <w:r>
              <w:rPr>
                <w:rFonts w:ascii="Times New Roman" w:hAnsi="Times New Roman" w:eastAsia="仿宋" w:cs="Times New Roman"/>
                <w:sz w:val="18"/>
                <w:szCs w:val="18"/>
                <w:shd w:val="clear" w:color="auto" w:fill="FFFFFF"/>
              </w:rPr>
              <w:t xml:space="preserve"> ETDZ</w:t>
            </w:r>
          </w:p>
        </w:tc>
        <w:tc>
          <w:tcPr>
            <w:tcW w:w="1207" w:type="pct"/>
            <w:shd w:val="clear" w:color="auto" w:fill="auto"/>
            <w:noWrap/>
            <w:vAlign w:val="center"/>
          </w:tcPr>
          <w:p w14:paraId="6C8F0BC9">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Liu Hu</w:t>
            </w:r>
          </w:p>
        </w:tc>
        <w:tc>
          <w:tcPr>
            <w:tcW w:w="1633" w:type="pct"/>
            <w:shd w:val="clear" w:color="auto" w:fill="auto"/>
            <w:noWrap/>
            <w:vAlign w:val="center"/>
          </w:tcPr>
          <w:p w14:paraId="0B0A34EC">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+86-13874935227</w:t>
            </w:r>
          </w:p>
        </w:tc>
      </w:tr>
      <w:tr w14:paraId="5E38EE4B">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shd w:val="clear" w:color="auto" w:fill="auto"/>
            <w:noWrap/>
            <w:vAlign w:val="center"/>
          </w:tcPr>
          <w:p w14:paraId="661957AF">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3</w:t>
            </w:r>
          </w:p>
        </w:tc>
        <w:tc>
          <w:tcPr>
            <w:tcW w:w="1652" w:type="pct"/>
            <w:shd w:val="clear" w:color="auto" w:fill="auto"/>
            <w:noWrap/>
            <w:vAlign w:val="center"/>
          </w:tcPr>
          <w:p w14:paraId="16FA8500">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Liuyang</w:t>
            </w:r>
            <w:r>
              <w:rPr>
                <w:rFonts w:ascii="Times New Roman" w:hAnsi="Times New Roman" w:eastAsia="仿宋" w:cs="Times New Roman"/>
                <w:sz w:val="18"/>
                <w:szCs w:val="18"/>
                <w:shd w:val="clear" w:color="auto" w:fill="FFFFFF"/>
              </w:rPr>
              <w:t xml:space="preserve"> ETDZ</w:t>
            </w:r>
          </w:p>
        </w:tc>
        <w:tc>
          <w:tcPr>
            <w:tcW w:w="1207" w:type="pct"/>
            <w:shd w:val="clear" w:color="auto" w:fill="auto"/>
            <w:noWrap/>
            <w:vAlign w:val="center"/>
          </w:tcPr>
          <w:p w14:paraId="6BBEF334">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Wang Dahui</w:t>
            </w:r>
          </w:p>
        </w:tc>
        <w:tc>
          <w:tcPr>
            <w:tcW w:w="1633" w:type="pct"/>
            <w:shd w:val="clear" w:color="auto" w:fill="auto"/>
            <w:noWrap/>
            <w:vAlign w:val="center"/>
          </w:tcPr>
          <w:p w14:paraId="4AB0BDD8">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+86-13975872620</w:t>
            </w:r>
          </w:p>
        </w:tc>
      </w:tr>
      <w:tr w14:paraId="0CCB0A85">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shd w:val="clear" w:color="auto" w:fill="auto"/>
            <w:noWrap/>
            <w:vAlign w:val="center"/>
          </w:tcPr>
          <w:p w14:paraId="02FAC65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4</w:t>
            </w:r>
          </w:p>
        </w:tc>
        <w:tc>
          <w:tcPr>
            <w:tcW w:w="1652" w:type="pct"/>
            <w:shd w:val="clear" w:color="auto" w:fill="auto"/>
            <w:noWrap/>
            <w:vAlign w:val="center"/>
          </w:tcPr>
          <w:p w14:paraId="3B4F8D48">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Ningxiang</w:t>
            </w:r>
            <w:r>
              <w:rPr>
                <w:rFonts w:ascii="Times New Roman" w:hAnsi="Times New Roman" w:eastAsia="仿宋" w:cs="Times New Roman"/>
                <w:sz w:val="18"/>
                <w:szCs w:val="18"/>
                <w:shd w:val="clear" w:color="auto" w:fill="FFFFFF"/>
              </w:rPr>
              <w:t xml:space="preserve"> ETDZ</w:t>
            </w:r>
          </w:p>
        </w:tc>
        <w:tc>
          <w:tcPr>
            <w:tcW w:w="1207" w:type="pct"/>
            <w:shd w:val="clear" w:color="auto" w:fill="auto"/>
            <w:noWrap/>
            <w:vAlign w:val="center"/>
          </w:tcPr>
          <w:p w14:paraId="4F9BC2F5">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Wang Qian</w:t>
            </w:r>
          </w:p>
        </w:tc>
        <w:tc>
          <w:tcPr>
            <w:tcW w:w="1633" w:type="pct"/>
            <w:shd w:val="clear" w:color="auto" w:fill="auto"/>
            <w:noWrap/>
            <w:vAlign w:val="center"/>
          </w:tcPr>
          <w:p w14:paraId="29D5DF8F">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+86-15084700909</w:t>
            </w:r>
          </w:p>
        </w:tc>
      </w:tr>
      <w:tr w14:paraId="36EB31D7">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shd w:val="clear" w:color="auto" w:fill="auto"/>
            <w:noWrap/>
            <w:vAlign w:val="center"/>
          </w:tcPr>
          <w:p w14:paraId="32BFD6A8">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5</w:t>
            </w:r>
          </w:p>
        </w:tc>
        <w:tc>
          <w:tcPr>
            <w:tcW w:w="1652" w:type="pct"/>
            <w:shd w:val="clear" w:color="auto" w:fill="auto"/>
            <w:noWrap/>
            <w:vAlign w:val="center"/>
          </w:tcPr>
          <w:p w14:paraId="2800A555">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Xiangtan</w:t>
            </w:r>
            <w:r>
              <w:rPr>
                <w:rFonts w:ascii="Times New Roman" w:hAnsi="Times New Roman" w:eastAsia="仿宋" w:cs="Times New Roman"/>
                <w:sz w:val="18"/>
                <w:szCs w:val="18"/>
                <w:shd w:val="clear" w:color="auto" w:fill="FFFFFF"/>
              </w:rPr>
              <w:t xml:space="preserve"> ETDZ</w:t>
            </w:r>
          </w:p>
        </w:tc>
        <w:tc>
          <w:tcPr>
            <w:tcW w:w="1207" w:type="pct"/>
            <w:shd w:val="clear" w:color="auto" w:fill="auto"/>
            <w:noWrap/>
            <w:vAlign w:val="center"/>
          </w:tcPr>
          <w:p w14:paraId="1F38171D">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Liu Jin</w:t>
            </w:r>
          </w:p>
        </w:tc>
        <w:tc>
          <w:tcPr>
            <w:tcW w:w="1633" w:type="pct"/>
            <w:shd w:val="clear" w:color="auto" w:fill="auto"/>
            <w:noWrap/>
            <w:vAlign w:val="center"/>
          </w:tcPr>
          <w:p w14:paraId="6F201DE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+86-13975227076</w:t>
            </w:r>
          </w:p>
        </w:tc>
      </w:tr>
      <w:tr w14:paraId="5058EACB">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shd w:val="clear" w:color="auto" w:fill="auto"/>
            <w:noWrap/>
            <w:vAlign w:val="center"/>
          </w:tcPr>
          <w:p w14:paraId="512C0E81">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6</w:t>
            </w:r>
          </w:p>
        </w:tc>
        <w:tc>
          <w:tcPr>
            <w:tcW w:w="1652" w:type="pct"/>
            <w:shd w:val="clear" w:color="auto" w:fill="auto"/>
            <w:noWrap/>
            <w:vAlign w:val="center"/>
          </w:tcPr>
          <w:p w14:paraId="0EDDB45D">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Shaoyang</w:t>
            </w:r>
            <w:r>
              <w:rPr>
                <w:rFonts w:ascii="Times New Roman" w:hAnsi="Times New Roman" w:eastAsia="仿宋" w:cs="Times New Roman"/>
                <w:sz w:val="18"/>
                <w:szCs w:val="18"/>
                <w:shd w:val="clear" w:color="auto" w:fill="FFFFFF"/>
              </w:rPr>
              <w:t xml:space="preserve"> ETDZ</w:t>
            </w:r>
          </w:p>
        </w:tc>
        <w:tc>
          <w:tcPr>
            <w:tcW w:w="1207" w:type="pct"/>
            <w:shd w:val="clear" w:color="auto" w:fill="auto"/>
            <w:noWrap/>
            <w:vAlign w:val="center"/>
          </w:tcPr>
          <w:p w14:paraId="1B9BC56F">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Zhang Gong</w:t>
            </w:r>
          </w:p>
        </w:tc>
        <w:tc>
          <w:tcPr>
            <w:tcW w:w="1633" w:type="pct"/>
            <w:shd w:val="clear" w:color="auto" w:fill="auto"/>
            <w:noWrap/>
            <w:vAlign w:val="center"/>
          </w:tcPr>
          <w:p w14:paraId="6132E1E7">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+86-18173960066</w:t>
            </w:r>
          </w:p>
        </w:tc>
      </w:tr>
      <w:tr w14:paraId="021F026F">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shd w:val="clear" w:color="auto" w:fill="auto"/>
            <w:noWrap/>
            <w:vAlign w:val="center"/>
          </w:tcPr>
          <w:p w14:paraId="1F6C0238">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7</w:t>
            </w:r>
          </w:p>
        </w:tc>
        <w:tc>
          <w:tcPr>
            <w:tcW w:w="1652" w:type="pct"/>
            <w:shd w:val="clear" w:color="auto" w:fill="auto"/>
            <w:noWrap/>
            <w:vAlign w:val="center"/>
          </w:tcPr>
          <w:p w14:paraId="5CEE6365">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Yueyang</w:t>
            </w:r>
            <w:r>
              <w:rPr>
                <w:rFonts w:ascii="Times New Roman" w:hAnsi="Times New Roman" w:eastAsia="仿宋" w:cs="Times New Roman"/>
                <w:sz w:val="18"/>
                <w:szCs w:val="18"/>
                <w:shd w:val="clear" w:color="auto" w:fill="FFFFFF"/>
              </w:rPr>
              <w:t xml:space="preserve"> ETDZ</w:t>
            </w:r>
          </w:p>
        </w:tc>
        <w:tc>
          <w:tcPr>
            <w:tcW w:w="1207" w:type="pct"/>
            <w:shd w:val="clear" w:color="auto" w:fill="auto"/>
            <w:noWrap/>
            <w:vAlign w:val="center"/>
          </w:tcPr>
          <w:p w14:paraId="390F785B">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 xml:space="preserve">Ren Jiyan </w:t>
            </w:r>
          </w:p>
        </w:tc>
        <w:tc>
          <w:tcPr>
            <w:tcW w:w="1633" w:type="pct"/>
            <w:shd w:val="clear" w:color="auto" w:fill="auto"/>
            <w:noWrap/>
            <w:vAlign w:val="center"/>
          </w:tcPr>
          <w:p w14:paraId="41080E1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+86-13607402915</w:t>
            </w:r>
          </w:p>
        </w:tc>
      </w:tr>
      <w:tr w14:paraId="59F7F9D9">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shd w:val="clear" w:color="auto" w:fill="auto"/>
            <w:noWrap/>
            <w:vAlign w:val="center"/>
          </w:tcPr>
          <w:p w14:paraId="5D220E23">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w:t>
            </w:r>
          </w:p>
        </w:tc>
        <w:tc>
          <w:tcPr>
            <w:tcW w:w="1652" w:type="pct"/>
            <w:shd w:val="clear" w:color="auto" w:fill="auto"/>
            <w:noWrap/>
            <w:vAlign w:val="center"/>
          </w:tcPr>
          <w:p w14:paraId="121FE499">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Changde</w:t>
            </w:r>
            <w:r>
              <w:rPr>
                <w:rFonts w:ascii="Times New Roman" w:hAnsi="Times New Roman" w:eastAsia="仿宋" w:cs="Times New Roman"/>
                <w:sz w:val="18"/>
                <w:szCs w:val="18"/>
                <w:shd w:val="clear" w:color="auto" w:fill="FFFFFF"/>
              </w:rPr>
              <w:t xml:space="preserve"> ETDZ</w:t>
            </w:r>
          </w:p>
        </w:tc>
        <w:tc>
          <w:tcPr>
            <w:tcW w:w="1207" w:type="pct"/>
            <w:shd w:val="clear" w:color="auto" w:fill="auto"/>
            <w:noWrap/>
            <w:vAlign w:val="center"/>
          </w:tcPr>
          <w:p w14:paraId="363002D0">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Zhou Jie</w:t>
            </w:r>
          </w:p>
        </w:tc>
        <w:tc>
          <w:tcPr>
            <w:tcW w:w="1633" w:type="pct"/>
            <w:shd w:val="clear" w:color="auto" w:fill="auto"/>
            <w:noWrap/>
            <w:vAlign w:val="center"/>
          </w:tcPr>
          <w:p w14:paraId="4543C3E4">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+86-13873631015</w:t>
            </w:r>
          </w:p>
        </w:tc>
      </w:tr>
      <w:tr w14:paraId="071E1D33">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shd w:val="clear" w:color="auto" w:fill="auto"/>
            <w:noWrap/>
            <w:vAlign w:val="center"/>
          </w:tcPr>
          <w:p w14:paraId="0BD66695">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9</w:t>
            </w:r>
          </w:p>
        </w:tc>
        <w:tc>
          <w:tcPr>
            <w:tcW w:w="1652" w:type="pct"/>
            <w:shd w:val="clear" w:color="auto" w:fill="auto"/>
            <w:noWrap/>
            <w:vAlign w:val="center"/>
          </w:tcPr>
          <w:p w14:paraId="1BBE896D">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Yongzhou</w:t>
            </w:r>
            <w:r>
              <w:rPr>
                <w:rFonts w:ascii="Times New Roman" w:hAnsi="Times New Roman" w:eastAsia="仿宋" w:cs="Times New Roman"/>
                <w:sz w:val="18"/>
                <w:szCs w:val="18"/>
                <w:shd w:val="clear" w:color="auto" w:fill="FFFFFF"/>
              </w:rPr>
              <w:t xml:space="preserve"> ETDZ</w:t>
            </w:r>
          </w:p>
        </w:tc>
        <w:tc>
          <w:tcPr>
            <w:tcW w:w="1207" w:type="pct"/>
            <w:shd w:val="clear" w:color="auto" w:fill="auto"/>
            <w:noWrap/>
            <w:vAlign w:val="center"/>
          </w:tcPr>
          <w:p w14:paraId="641C971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Jiang Wen</w:t>
            </w:r>
          </w:p>
        </w:tc>
        <w:tc>
          <w:tcPr>
            <w:tcW w:w="1633" w:type="pct"/>
            <w:shd w:val="clear" w:color="auto" w:fill="auto"/>
            <w:noWrap/>
            <w:vAlign w:val="center"/>
          </w:tcPr>
          <w:p w14:paraId="1103ED5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+86-13787608006</w:t>
            </w:r>
          </w:p>
        </w:tc>
      </w:tr>
      <w:tr w14:paraId="4F63ACE1">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507" w:type="pct"/>
            <w:shd w:val="clear" w:color="auto" w:fill="auto"/>
            <w:noWrap/>
            <w:vAlign w:val="center"/>
          </w:tcPr>
          <w:p w14:paraId="4FA013E4">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10</w:t>
            </w:r>
          </w:p>
        </w:tc>
        <w:tc>
          <w:tcPr>
            <w:tcW w:w="1652" w:type="pct"/>
            <w:shd w:val="clear" w:color="auto" w:fill="auto"/>
            <w:noWrap/>
            <w:vAlign w:val="center"/>
          </w:tcPr>
          <w:p w14:paraId="7914624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Loudi</w:t>
            </w:r>
            <w:r>
              <w:rPr>
                <w:rFonts w:ascii="Times New Roman" w:hAnsi="Times New Roman" w:eastAsia="仿宋" w:cs="Times New Roman"/>
                <w:sz w:val="18"/>
                <w:szCs w:val="18"/>
                <w:shd w:val="clear" w:color="auto" w:fill="FFFFFF"/>
              </w:rPr>
              <w:t xml:space="preserve"> ETDZ</w:t>
            </w:r>
          </w:p>
        </w:tc>
        <w:tc>
          <w:tcPr>
            <w:tcW w:w="1207" w:type="pct"/>
            <w:shd w:val="clear" w:color="auto" w:fill="auto"/>
            <w:noWrap/>
            <w:vAlign w:val="center"/>
          </w:tcPr>
          <w:p w14:paraId="48D4CF82">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Wu Desheng</w:t>
            </w:r>
          </w:p>
        </w:tc>
        <w:tc>
          <w:tcPr>
            <w:tcW w:w="1633" w:type="pct"/>
            <w:shd w:val="clear" w:color="auto" w:fill="auto"/>
            <w:noWrap/>
            <w:vAlign w:val="center"/>
          </w:tcPr>
          <w:p w14:paraId="2279E62C">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+86-13507384503</w:t>
            </w:r>
          </w:p>
        </w:tc>
      </w:tr>
    </w:tbl>
    <w:p w14:paraId="5D18B5B8">
      <w:pPr>
        <w:adjustRightInd w:val="0"/>
        <w:snapToGrid w:val="0"/>
        <w:jc w:val="center"/>
        <w:rPr>
          <w:rFonts w:ascii="Times New Roman" w:hAnsi="Times New Roman" w:eastAsia="黑体" w:cs="Times New Roman"/>
          <w:b/>
          <w:bCs/>
          <w:sz w:val="16"/>
          <w:szCs w:val="16"/>
        </w:rPr>
      </w:pPr>
    </w:p>
    <w:p w14:paraId="4E0A8BA9">
      <w:pPr>
        <w:adjustRightInd w:val="0"/>
        <w:snapToGrid w:val="0"/>
        <w:jc w:val="center"/>
        <w:rPr>
          <w:rFonts w:ascii="Times New Roman" w:hAnsi="Times New Roman" w:eastAsia="黑体" w:cs="Times New Roman"/>
          <w:b/>
          <w:bCs/>
          <w:sz w:val="16"/>
          <w:szCs w:val="16"/>
        </w:rPr>
      </w:pPr>
    </w:p>
    <w:p w14:paraId="7384151C">
      <w:pPr>
        <w:adjustRightInd w:val="0"/>
        <w:snapToGrid w:val="0"/>
        <w:jc w:val="center"/>
        <w:rPr>
          <w:rFonts w:ascii="Times New Roman" w:hAnsi="Times New Roman" w:eastAsia="黑体" w:cs="Times New Roman"/>
          <w:b/>
          <w:bCs/>
          <w:sz w:val="16"/>
          <w:szCs w:val="16"/>
        </w:rPr>
      </w:pPr>
    </w:p>
    <w:p w14:paraId="6382A3C8">
      <w:pPr>
        <w:adjustRightInd w:val="0"/>
        <w:snapToGrid w:val="0"/>
        <w:jc w:val="center"/>
        <w:rPr>
          <w:rFonts w:ascii="Times New Roman" w:hAnsi="Times New Roman" w:eastAsia="黑体" w:cs="Times New Roman"/>
          <w:b/>
          <w:bCs/>
          <w:sz w:val="18"/>
          <w:szCs w:val="18"/>
        </w:rPr>
      </w:pPr>
      <w:r>
        <w:rPr>
          <w:rFonts w:ascii="Times New Roman" w:hAnsi="Times New Roman" w:eastAsia="黑体" w:cs="Times New Roman"/>
          <w:b/>
          <w:bCs/>
          <w:sz w:val="18"/>
          <w:szCs w:val="18"/>
        </w:rPr>
        <w:t xml:space="preserve">Contact List of Nine National </w:t>
      </w:r>
      <w:r>
        <w:rPr>
          <w:rFonts w:ascii="Times New Roman" w:hAnsi="Times New Roman" w:eastAsia="黑体" w:cs="Times New Roman"/>
          <w:b/>
          <w:bCs/>
          <w:sz w:val="18"/>
          <w:szCs w:val="18"/>
          <w:shd w:val="clear" w:color="auto" w:fill="FFFFFF"/>
        </w:rPr>
        <w:t>HTZs</w:t>
      </w:r>
    </w:p>
    <w:tbl>
      <w:tblPr>
        <w:tblStyle w:val="31"/>
        <w:tblW w:w="5000" w:type="pct"/>
        <w:jc w:val="center"/>
        <w:tblBorders>
          <w:top w:val="none" w:color="auto" w:sz="0" w:space="0"/>
          <w:left w:val="none" w:color="auto" w:sz="0" w:space="0"/>
          <w:bottom w:val="single" w:color="000000"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10"/>
        <w:gridCol w:w="2267"/>
        <w:gridCol w:w="1605"/>
        <w:gridCol w:w="1965"/>
      </w:tblGrid>
      <w:tr w14:paraId="64EFC48C">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473" w:type="pct"/>
            <w:tcBorders>
              <w:top w:val="single" w:color="000000" w:sz="4" w:space="0"/>
              <w:bottom w:val="single" w:color="000000" w:sz="4" w:space="0"/>
            </w:tcBorders>
            <w:shd w:val="clear" w:color="auto" w:fill="auto"/>
            <w:noWrap/>
            <w:vAlign w:val="center"/>
          </w:tcPr>
          <w:p w14:paraId="366E97F7">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No.</w:t>
            </w:r>
          </w:p>
        </w:tc>
        <w:tc>
          <w:tcPr>
            <w:tcW w:w="1758" w:type="pct"/>
            <w:tcBorders>
              <w:top w:val="single" w:color="000000" w:sz="4" w:space="0"/>
              <w:bottom w:val="single" w:color="000000" w:sz="4" w:space="0"/>
            </w:tcBorders>
            <w:shd w:val="clear" w:color="auto" w:fill="auto"/>
            <w:noWrap/>
            <w:vAlign w:val="center"/>
          </w:tcPr>
          <w:p w14:paraId="72F76948">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Agency</w:t>
            </w:r>
          </w:p>
        </w:tc>
        <w:tc>
          <w:tcPr>
            <w:tcW w:w="1245" w:type="pct"/>
            <w:tcBorders>
              <w:top w:val="single" w:color="000000" w:sz="4" w:space="0"/>
              <w:bottom w:val="single" w:color="000000" w:sz="4" w:space="0"/>
            </w:tcBorders>
            <w:shd w:val="clear" w:color="auto" w:fill="auto"/>
            <w:noWrap/>
            <w:vAlign w:val="center"/>
          </w:tcPr>
          <w:p w14:paraId="3EEAFF6A">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Contact</w:t>
            </w:r>
          </w:p>
        </w:tc>
        <w:tc>
          <w:tcPr>
            <w:tcW w:w="1524" w:type="pct"/>
            <w:tcBorders>
              <w:top w:val="single" w:color="000000" w:sz="4" w:space="0"/>
              <w:bottom w:val="single" w:color="000000" w:sz="4" w:space="0"/>
            </w:tcBorders>
            <w:shd w:val="clear" w:color="auto" w:fill="auto"/>
            <w:noWrap/>
            <w:vAlign w:val="center"/>
          </w:tcPr>
          <w:p w14:paraId="3C08F3E0">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Tel</w:t>
            </w:r>
          </w:p>
        </w:tc>
      </w:tr>
      <w:tr w14:paraId="588A3A15">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3" w:hRule="atLeast"/>
          <w:jc w:val="center"/>
        </w:trPr>
        <w:tc>
          <w:tcPr>
            <w:tcW w:w="473" w:type="pct"/>
            <w:tcBorders>
              <w:top w:val="single" w:color="000000" w:sz="4" w:space="0"/>
            </w:tcBorders>
            <w:shd w:val="clear" w:color="auto" w:fill="auto"/>
            <w:noWrap/>
            <w:vAlign w:val="center"/>
          </w:tcPr>
          <w:p w14:paraId="3F466C31">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1</w:t>
            </w:r>
          </w:p>
        </w:tc>
        <w:tc>
          <w:tcPr>
            <w:tcW w:w="1758" w:type="pct"/>
            <w:tcBorders>
              <w:top w:val="single" w:color="000000" w:sz="4" w:space="0"/>
            </w:tcBorders>
            <w:shd w:val="clear" w:color="auto" w:fill="auto"/>
            <w:noWrap/>
            <w:vAlign w:val="center"/>
          </w:tcPr>
          <w:p w14:paraId="3C6B67A1">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Xiangjiang New Area</w:t>
            </w:r>
          </w:p>
          <w:p w14:paraId="1CEC8E30">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 xml:space="preserve">（Changsha </w:t>
            </w:r>
            <w:r>
              <w:rPr>
                <w:rFonts w:ascii="Times New Roman" w:hAnsi="Times New Roman" w:eastAsia="仿宋" w:cs="Times New Roman"/>
                <w:sz w:val="18"/>
                <w:szCs w:val="18"/>
                <w:shd w:val="clear" w:color="auto" w:fill="FFFFFF"/>
              </w:rPr>
              <w:t>HTZ</w:t>
            </w:r>
            <w:r>
              <w:rPr>
                <w:rFonts w:ascii="Times New Roman" w:hAnsi="Times New Roman" w:eastAsia="仿宋" w:cs="Times New Roman"/>
                <w:sz w:val="18"/>
                <w:szCs w:val="18"/>
              </w:rPr>
              <w:t>）</w:t>
            </w:r>
          </w:p>
        </w:tc>
        <w:tc>
          <w:tcPr>
            <w:tcW w:w="1245" w:type="pct"/>
            <w:tcBorders>
              <w:top w:val="single" w:color="000000" w:sz="4" w:space="0"/>
            </w:tcBorders>
            <w:shd w:val="clear" w:color="auto" w:fill="auto"/>
            <w:noWrap/>
            <w:vAlign w:val="center"/>
          </w:tcPr>
          <w:p w14:paraId="6C5CA327">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Wang Jin</w:t>
            </w:r>
          </w:p>
        </w:tc>
        <w:tc>
          <w:tcPr>
            <w:tcW w:w="1524" w:type="pct"/>
            <w:tcBorders>
              <w:top w:val="single" w:color="000000" w:sz="4" w:space="0"/>
            </w:tcBorders>
            <w:shd w:val="clear" w:color="auto" w:fill="auto"/>
            <w:noWrap/>
            <w:vAlign w:val="center"/>
          </w:tcPr>
          <w:p w14:paraId="683464A4">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+86-15974228337</w:t>
            </w:r>
          </w:p>
        </w:tc>
      </w:tr>
      <w:tr w14:paraId="7D497792">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473" w:type="pct"/>
            <w:shd w:val="clear" w:color="auto" w:fill="auto"/>
            <w:noWrap/>
            <w:vAlign w:val="center"/>
          </w:tcPr>
          <w:p w14:paraId="65EEF09B">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2</w:t>
            </w:r>
          </w:p>
        </w:tc>
        <w:tc>
          <w:tcPr>
            <w:tcW w:w="1758" w:type="pct"/>
            <w:shd w:val="clear" w:color="auto" w:fill="auto"/>
            <w:noWrap/>
            <w:vAlign w:val="center"/>
          </w:tcPr>
          <w:p w14:paraId="1D3ED114">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Ningxiang</w:t>
            </w:r>
            <w:r>
              <w:rPr>
                <w:rFonts w:ascii="Times New Roman" w:hAnsi="Times New Roman" w:eastAsia="仿宋" w:cs="Times New Roman"/>
                <w:sz w:val="18"/>
                <w:szCs w:val="18"/>
                <w:shd w:val="clear" w:color="auto" w:fill="FFFFFF"/>
              </w:rPr>
              <w:t xml:space="preserve"> HTZ</w:t>
            </w:r>
          </w:p>
        </w:tc>
        <w:tc>
          <w:tcPr>
            <w:tcW w:w="1245" w:type="pct"/>
            <w:shd w:val="clear" w:color="auto" w:fill="auto"/>
            <w:noWrap/>
            <w:vAlign w:val="center"/>
          </w:tcPr>
          <w:p w14:paraId="642036E9">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Zhu Rong</w:t>
            </w:r>
          </w:p>
        </w:tc>
        <w:tc>
          <w:tcPr>
            <w:tcW w:w="1524" w:type="pct"/>
            <w:shd w:val="clear" w:color="auto" w:fill="auto"/>
            <w:noWrap/>
            <w:vAlign w:val="center"/>
          </w:tcPr>
          <w:p w14:paraId="40C08AC5">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+86-13755059146</w:t>
            </w:r>
          </w:p>
        </w:tc>
      </w:tr>
      <w:tr w14:paraId="16264312">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jc w:val="center"/>
        </w:trPr>
        <w:tc>
          <w:tcPr>
            <w:tcW w:w="473" w:type="pct"/>
            <w:shd w:val="clear" w:color="auto" w:fill="auto"/>
            <w:noWrap/>
            <w:vAlign w:val="center"/>
          </w:tcPr>
          <w:p w14:paraId="5106CB79">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3</w:t>
            </w:r>
          </w:p>
        </w:tc>
        <w:tc>
          <w:tcPr>
            <w:tcW w:w="1758" w:type="pct"/>
            <w:shd w:val="clear" w:color="auto" w:fill="auto"/>
            <w:noWrap/>
            <w:vAlign w:val="center"/>
          </w:tcPr>
          <w:p w14:paraId="64D61B05">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 xml:space="preserve">Hengyang </w:t>
            </w:r>
            <w:r>
              <w:rPr>
                <w:rFonts w:ascii="Times New Roman" w:hAnsi="Times New Roman" w:eastAsia="仿宋" w:cs="Times New Roman"/>
                <w:sz w:val="18"/>
                <w:szCs w:val="18"/>
                <w:shd w:val="clear" w:color="auto" w:fill="FFFFFF"/>
              </w:rPr>
              <w:t>HTZ</w:t>
            </w:r>
          </w:p>
        </w:tc>
        <w:tc>
          <w:tcPr>
            <w:tcW w:w="1245" w:type="pct"/>
            <w:shd w:val="clear" w:color="auto" w:fill="auto"/>
            <w:noWrap/>
            <w:vAlign w:val="center"/>
          </w:tcPr>
          <w:p w14:paraId="4E76759C">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Leng Yu</w:t>
            </w:r>
          </w:p>
        </w:tc>
        <w:tc>
          <w:tcPr>
            <w:tcW w:w="1524" w:type="pct"/>
            <w:shd w:val="clear" w:color="auto" w:fill="auto"/>
            <w:noWrap/>
            <w:vAlign w:val="center"/>
          </w:tcPr>
          <w:p w14:paraId="09DF01EA">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+86-18907348606</w:t>
            </w:r>
          </w:p>
        </w:tc>
      </w:tr>
      <w:tr w14:paraId="6D0A0200">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473" w:type="pct"/>
            <w:shd w:val="clear" w:color="auto" w:fill="auto"/>
            <w:noWrap/>
            <w:vAlign w:val="center"/>
          </w:tcPr>
          <w:p w14:paraId="0FFF10BE">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4</w:t>
            </w:r>
          </w:p>
        </w:tc>
        <w:tc>
          <w:tcPr>
            <w:tcW w:w="1758" w:type="pct"/>
            <w:shd w:val="clear" w:color="auto" w:fill="auto"/>
            <w:noWrap/>
            <w:vAlign w:val="center"/>
          </w:tcPr>
          <w:p w14:paraId="5237A629">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Zhuzhou</w:t>
            </w:r>
            <w:r>
              <w:rPr>
                <w:rFonts w:ascii="Times New Roman" w:hAnsi="Times New Roman" w:eastAsia="仿宋" w:cs="Times New Roman"/>
                <w:sz w:val="18"/>
                <w:szCs w:val="18"/>
                <w:shd w:val="clear" w:color="auto" w:fill="FFFFFF"/>
              </w:rPr>
              <w:t xml:space="preserve"> HTZ</w:t>
            </w:r>
          </w:p>
        </w:tc>
        <w:tc>
          <w:tcPr>
            <w:tcW w:w="1245" w:type="pct"/>
            <w:shd w:val="clear" w:color="auto" w:fill="auto"/>
            <w:noWrap/>
            <w:vAlign w:val="center"/>
          </w:tcPr>
          <w:p w14:paraId="79B1EA9A">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Li Hao</w:t>
            </w:r>
          </w:p>
        </w:tc>
        <w:tc>
          <w:tcPr>
            <w:tcW w:w="1524" w:type="pct"/>
            <w:shd w:val="clear" w:color="auto" w:fill="auto"/>
            <w:noWrap/>
            <w:vAlign w:val="center"/>
          </w:tcPr>
          <w:p w14:paraId="10D8E0C9">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+86-13907410762</w:t>
            </w:r>
          </w:p>
        </w:tc>
      </w:tr>
      <w:tr w14:paraId="464F9833">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473" w:type="pct"/>
            <w:shd w:val="clear" w:color="auto" w:fill="auto"/>
            <w:noWrap/>
            <w:vAlign w:val="center"/>
          </w:tcPr>
          <w:p w14:paraId="0DF46B6C">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5</w:t>
            </w:r>
          </w:p>
        </w:tc>
        <w:tc>
          <w:tcPr>
            <w:tcW w:w="1758" w:type="pct"/>
            <w:shd w:val="clear" w:color="auto" w:fill="auto"/>
            <w:noWrap/>
            <w:vAlign w:val="center"/>
          </w:tcPr>
          <w:p w14:paraId="3CE872E8">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Xiangtan</w:t>
            </w:r>
            <w:r>
              <w:rPr>
                <w:rFonts w:ascii="Times New Roman" w:hAnsi="Times New Roman" w:eastAsia="仿宋" w:cs="Times New Roman"/>
                <w:sz w:val="18"/>
                <w:szCs w:val="18"/>
                <w:shd w:val="clear" w:color="auto" w:fill="FFFFFF"/>
              </w:rPr>
              <w:t xml:space="preserve"> HTZ</w:t>
            </w:r>
          </w:p>
        </w:tc>
        <w:tc>
          <w:tcPr>
            <w:tcW w:w="1245" w:type="pct"/>
            <w:shd w:val="clear" w:color="auto" w:fill="auto"/>
            <w:noWrap/>
            <w:vAlign w:val="center"/>
          </w:tcPr>
          <w:p w14:paraId="42A1B92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Wen Ping</w:t>
            </w:r>
          </w:p>
        </w:tc>
        <w:tc>
          <w:tcPr>
            <w:tcW w:w="1524" w:type="pct"/>
            <w:shd w:val="clear" w:color="auto" w:fill="auto"/>
            <w:noWrap/>
            <w:vAlign w:val="center"/>
          </w:tcPr>
          <w:p w14:paraId="07A5208F">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+86-13973285115</w:t>
            </w:r>
          </w:p>
        </w:tc>
      </w:tr>
      <w:tr w14:paraId="147854F3">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473" w:type="pct"/>
            <w:shd w:val="clear" w:color="auto" w:fill="auto"/>
            <w:noWrap/>
            <w:vAlign w:val="center"/>
          </w:tcPr>
          <w:p w14:paraId="50E1BEE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6</w:t>
            </w:r>
          </w:p>
        </w:tc>
        <w:tc>
          <w:tcPr>
            <w:tcW w:w="1758" w:type="pct"/>
            <w:shd w:val="clear" w:color="auto" w:fill="auto"/>
            <w:noWrap/>
            <w:vAlign w:val="center"/>
          </w:tcPr>
          <w:p w14:paraId="114DFC05">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Changde</w:t>
            </w:r>
            <w:r>
              <w:rPr>
                <w:rFonts w:ascii="Times New Roman" w:hAnsi="Times New Roman" w:eastAsia="仿宋" w:cs="Times New Roman"/>
                <w:sz w:val="18"/>
                <w:szCs w:val="18"/>
                <w:shd w:val="clear" w:color="auto" w:fill="FFFFFF"/>
              </w:rPr>
              <w:t xml:space="preserve"> HTZ</w:t>
            </w:r>
          </w:p>
        </w:tc>
        <w:tc>
          <w:tcPr>
            <w:tcW w:w="1245" w:type="pct"/>
            <w:shd w:val="clear" w:color="auto" w:fill="auto"/>
            <w:noWrap/>
            <w:vAlign w:val="center"/>
          </w:tcPr>
          <w:p w14:paraId="7D936DA0">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Guan Hongfei</w:t>
            </w:r>
          </w:p>
        </w:tc>
        <w:tc>
          <w:tcPr>
            <w:tcW w:w="1524" w:type="pct"/>
            <w:shd w:val="clear" w:color="auto" w:fill="auto"/>
            <w:noWrap/>
            <w:vAlign w:val="center"/>
          </w:tcPr>
          <w:p w14:paraId="30048600">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+86-13907360290</w:t>
            </w:r>
          </w:p>
        </w:tc>
      </w:tr>
      <w:tr w14:paraId="4AB0F8B2">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473" w:type="pct"/>
            <w:shd w:val="clear" w:color="auto" w:fill="auto"/>
            <w:noWrap/>
            <w:vAlign w:val="center"/>
          </w:tcPr>
          <w:p w14:paraId="57F751FA">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7</w:t>
            </w:r>
          </w:p>
        </w:tc>
        <w:tc>
          <w:tcPr>
            <w:tcW w:w="1758" w:type="pct"/>
            <w:shd w:val="clear" w:color="auto" w:fill="auto"/>
            <w:noWrap/>
            <w:vAlign w:val="center"/>
          </w:tcPr>
          <w:p w14:paraId="31131436">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Yiyang</w:t>
            </w:r>
            <w:r>
              <w:rPr>
                <w:rFonts w:ascii="Times New Roman" w:hAnsi="Times New Roman" w:eastAsia="仿宋" w:cs="Times New Roman"/>
                <w:sz w:val="18"/>
                <w:szCs w:val="18"/>
                <w:shd w:val="clear" w:color="auto" w:fill="FFFFFF"/>
              </w:rPr>
              <w:t xml:space="preserve"> HTZ</w:t>
            </w:r>
          </w:p>
        </w:tc>
        <w:tc>
          <w:tcPr>
            <w:tcW w:w="1245" w:type="pct"/>
            <w:shd w:val="clear" w:color="auto" w:fill="auto"/>
            <w:noWrap/>
            <w:vAlign w:val="center"/>
          </w:tcPr>
          <w:p w14:paraId="681D5590">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Xiong Yuhong</w:t>
            </w:r>
          </w:p>
        </w:tc>
        <w:tc>
          <w:tcPr>
            <w:tcW w:w="1524" w:type="pct"/>
            <w:shd w:val="clear" w:color="auto" w:fill="auto"/>
            <w:noWrap/>
            <w:vAlign w:val="center"/>
          </w:tcPr>
          <w:p w14:paraId="6EF1070B">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+86-13873708648</w:t>
            </w:r>
          </w:p>
        </w:tc>
      </w:tr>
      <w:tr w14:paraId="3F0FCB1E">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jc w:val="center"/>
        </w:trPr>
        <w:tc>
          <w:tcPr>
            <w:tcW w:w="473" w:type="pct"/>
            <w:shd w:val="clear" w:color="auto" w:fill="auto"/>
            <w:noWrap/>
            <w:vAlign w:val="center"/>
          </w:tcPr>
          <w:p w14:paraId="0919D3F5">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w:t>
            </w:r>
          </w:p>
        </w:tc>
        <w:tc>
          <w:tcPr>
            <w:tcW w:w="1758" w:type="pct"/>
            <w:shd w:val="clear" w:color="auto" w:fill="auto"/>
            <w:noWrap/>
            <w:vAlign w:val="center"/>
          </w:tcPr>
          <w:p w14:paraId="3E6A50A8">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 xml:space="preserve">Chenzhou </w:t>
            </w:r>
            <w:r>
              <w:rPr>
                <w:rFonts w:ascii="Times New Roman" w:hAnsi="Times New Roman" w:eastAsia="仿宋" w:cs="Times New Roman"/>
                <w:sz w:val="18"/>
                <w:szCs w:val="18"/>
                <w:shd w:val="clear" w:color="auto" w:fill="FFFFFF"/>
              </w:rPr>
              <w:t>HTZ</w:t>
            </w:r>
          </w:p>
        </w:tc>
        <w:tc>
          <w:tcPr>
            <w:tcW w:w="1245" w:type="pct"/>
            <w:shd w:val="clear" w:color="auto" w:fill="auto"/>
            <w:noWrap/>
            <w:vAlign w:val="center"/>
          </w:tcPr>
          <w:p w14:paraId="2F983C5B">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Zhou Lixia</w:t>
            </w:r>
          </w:p>
        </w:tc>
        <w:tc>
          <w:tcPr>
            <w:tcW w:w="1524" w:type="pct"/>
            <w:shd w:val="clear" w:color="auto" w:fill="auto"/>
            <w:noWrap/>
            <w:vAlign w:val="center"/>
          </w:tcPr>
          <w:p w14:paraId="3C2CC8DD">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+86-13787351078</w:t>
            </w:r>
          </w:p>
        </w:tc>
      </w:tr>
      <w:tr w14:paraId="7A1D9EE6">
        <w:tblPrEx>
          <w:tblBorders>
            <w:top w:val="none" w:color="auto" w:sz="0" w:space="0"/>
            <w:left w:val="none" w:color="auto" w:sz="0" w:space="0"/>
            <w:bottom w:val="single" w:color="000000"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jc w:val="center"/>
        </w:trPr>
        <w:tc>
          <w:tcPr>
            <w:tcW w:w="473" w:type="pct"/>
            <w:shd w:val="clear" w:color="auto" w:fill="auto"/>
            <w:noWrap/>
            <w:vAlign w:val="center"/>
          </w:tcPr>
          <w:p w14:paraId="27871264">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9</w:t>
            </w:r>
          </w:p>
        </w:tc>
        <w:tc>
          <w:tcPr>
            <w:tcW w:w="1758" w:type="pct"/>
            <w:shd w:val="clear" w:color="auto" w:fill="auto"/>
            <w:noWrap/>
            <w:vAlign w:val="center"/>
          </w:tcPr>
          <w:p w14:paraId="0FC6E892">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Huaihua</w:t>
            </w:r>
            <w:r>
              <w:rPr>
                <w:rFonts w:ascii="Times New Roman" w:hAnsi="Times New Roman" w:eastAsia="仿宋" w:cs="Times New Roman"/>
                <w:sz w:val="18"/>
                <w:szCs w:val="18"/>
                <w:shd w:val="clear" w:color="auto" w:fill="FFFFFF"/>
              </w:rPr>
              <w:t xml:space="preserve"> HTZ</w:t>
            </w:r>
          </w:p>
        </w:tc>
        <w:tc>
          <w:tcPr>
            <w:tcW w:w="1245" w:type="pct"/>
            <w:shd w:val="clear" w:color="auto" w:fill="auto"/>
            <w:noWrap/>
            <w:vAlign w:val="center"/>
          </w:tcPr>
          <w:p w14:paraId="3EF74F63">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Yang Xinjia</w:t>
            </w:r>
          </w:p>
        </w:tc>
        <w:tc>
          <w:tcPr>
            <w:tcW w:w="1524" w:type="pct"/>
            <w:shd w:val="clear" w:color="auto" w:fill="auto"/>
            <w:noWrap/>
            <w:vAlign w:val="center"/>
          </w:tcPr>
          <w:p w14:paraId="645C3647">
            <w:pPr>
              <w:snapToGrid w:val="0"/>
              <w:jc w:val="center"/>
              <w:rPr>
                <w:rFonts w:ascii="Times New Roman" w:hAnsi="Times New Roman" w:eastAsia="仿宋" w:cs="Times New Roman"/>
                <w:sz w:val="18"/>
                <w:szCs w:val="18"/>
              </w:rPr>
            </w:pPr>
            <w:r>
              <w:rPr>
                <w:rFonts w:ascii="Times New Roman" w:hAnsi="Times New Roman" w:eastAsia="仿宋" w:cs="Times New Roman"/>
                <w:sz w:val="18"/>
                <w:szCs w:val="18"/>
              </w:rPr>
              <w:t>+86-18675498903</w:t>
            </w:r>
          </w:p>
        </w:tc>
      </w:tr>
    </w:tbl>
    <w:p w14:paraId="7954FB7F">
      <w:pPr>
        <w:widowControl/>
        <w:jc w:val="left"/>
        <w:rPr>
          <w:rFonts w:ascii="Times New Roman" w:hAnsi="Times New Roman" w:cs="Times New Roman"/>
          <w:sz w:val="18"/>
          <w:szCs w:val="20"/>
        </w:rPr>
      </w:pPr>
    </w:p>
    <w:sectPr>
      <w:pgSz w:w="8391" w:h="11907"/>
      <w:pgMar w:top="1440" w:right="1080" w:bottom="1440" w:left="1080" w:header="680" w:footer="992" w:gutter="0"/>
      <w:cols w:space="720" w:num="1"/>
      <w:docGrid w:type="lines"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Century">
    <w:panose1 w:val="02040604050505020304"/>
    <w:charset w:val="00"/>
    <w:family w:val="roman"/>
    <w:pitch w:val="default"/>
    <w:sig w:usb0="00000287" w:usb1="00000000" w:usb2="00000000" w:usb3="00000000" w:csb0="2000009F" w:csb1="DFD70000"/>
  </w:font>
  <w:font w:name="仿宋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方正小标宋简体">
    <w:panose1 w:val="03000509000000000000"/>
    <w:charset w:val="86"/>
    <w:family w:val="script"/>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font>
  <w:font w:name="Arial">
    <w:panose1 w:val="020B0604020202020204"/>
    <w:charset w:val="00"/>
    <w:family w:val="swiss"/>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83085982"/>
      <w:docPartObj>
        <w:docPartGallery w:val="AutoText"/>
      </w:docPartObj>
    </w:sdtPr>
    <w:sdtEndPr>
      <w:rPr>
        <w:rFonts w:ascii="Times New Roman" w:hAnsi="Times New Roman" w:cs="Times New Roman"/>
      </w:rPr>
    </w:sdtEndPr>
    <w:sdtContent>
      <w:p w14:paraId="6B4F33AE">
        <w:pPr>
          <w:pStyle w:val="19"/>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i</w:t>
        </w:r>
        <w:r>
          <w:rPr>
            <w:rFonts w:ascii="Times New Roman" w:hAnsi="Times New Roman" w:cs="Times New Roman"/>
          </w:rPr>
          <w:fldChar w:fldCharType="end"/>
        </w:r>
      </w:p>
    </w:sdtContent>
  </w:sdt>
  <w:p w14:paraId="0E743C58">
    <w:pPr>
      <w:pStyle w:val="1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D78B0F">
    <w:pPr>
      <w:pStyle w:val="1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88923B">
    <w:pPr>
      <w:pStyle w:val="1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798737">
    <w:pPr>
      <w:pStyle w:val="19"/>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04617408"/>
      <w:docPartObj>
        <w:docPartGallery w:val="AutoText"/>
      </w:docPartObj>
    </w:sdtPr>
    <w:sdtEndPr>
      <w:rPr>
        <w:rFonts w:ascii="Times New Roman" w:hAnsi="Times New Roman" w:cs="Times New Roman"/>
      </w:rPr>
    </w:sdtEndPr>
    <w:sdtContent>
      <w:p w14:paraId="270B50EA">
        <w:pPr>
          <w:pStyle w:val="19"/>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1</w:t>
        </w:r>
        <w:r>
          <w:rPr>
            <w:rFonts w:ascii="Times New Roman" w:hAnsi="Times New Roman" w:cs="Times New Roman"/>
          </w:rPr>
          <w:fldChar w:fldCharType="end"/>
        </w:r>
      </w:p>
    </w:sdtContent>
  </w:sdt>
  <w:p w14:paraId="7140E948">
    <w:pPr>
      <w:pStyle w:val="1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08886B">
    <w:pPr>
      <w:pStyle w:val="1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6F5CC2">
    <w:pPr>
      <w:pStyle w:val="19"/>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49F913">
    <w:pPr>
      <w:pStyle w:val="1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69E97">
    <w:pPr>
      <w:pStyle w:val="1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E6CA5C">
    <w:pPr>
      <w:pStyle w:val="1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0A819C">
    <w:pPr>
      <w:pStyle w:val="1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3E6EAF">
    <w:pPr>
      <w:pStyle w:val="1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r>
        <w:separator/>
      </w:r>
    </w:p>
  </w:footnote>
  <w:footnote w:type="continuationSeparator" w:id="7">
    <w:p>
      <w:r>
        <w:continuationSeparator/>
      </w:r>
    </w:p>
  </w:footnote>
  <w:footnote w:id="0">
    <w:p w14:paraId="3DE410FE">
      <w:pPr>
        <w:pStyle w:val="23"/>
        <w:ind w:firstLine="360"/>
      </w:pPr>
      <w:r>
        <w:rPr>
          <w:rStyle w:val="40"/>
        </w:rPr>
        <w:footnoteRef/>
      </w:r>
      <w:r>
        <w:t xml:space="preserve"> Hi-tech Zone</w:t>
      </w:r>
    </w:p>
  </w:footnote>
  <w:footnote w:id="1">
    <w:p w14:paraId="1BC3A73C">
      <w:pPr>
        <w:pStyle w:val="23"/>
        <w:ind w:firstLine="360"/>
      </w:pPr>
      <w:r>
        <w:rPr>
          <w:rStyle w:val="40"/>
        </w:rPr>
        <w:footnoteRef/>
      </w:r>
      <w:r>
        <w:t xml:space="preserve"> Economic and Technological Development Zone</w:t>
      </w:r>
    </w:p>
  </w:footnote>
  <w:footnote w:id="2">
    <w:p w14:paraId="6F64E6C7">
      <w:pPr>
        <w:pStyle w:val="23"/>
        <w:ind w:firstLine="360"/>
      </w:pPr>
      <w:r>
        <w:rPr>
          <w:rStyle w:val="40"/>
        </w:rPr>
        <w:footnoteRef/>
      </w:r>
      <w:r>
        <w:t xml:space="preserve"> Industrial Development Zone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FA3ACC">
    <w:pPr>
      <w:pStyle w:val="20"/>
      <w:jc w:val="right"/>
      <w:rPr>
        <w:rFonts w:ascii="楷体" w:hAnsi="楷体" w:eastAsia="楷体"/>
        <w:sz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79E88F">
    <w:pPr>
      <w:pStyle w:val="20"/>
      <w:ind w:firstLine="36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1DC339">
    <w:pPr>
      <w:pStyle w:val="20"/>
      <w:ind w:firstLine="3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D0664">
    <w:pPr>
      <w:pStyle w:val="20"/>
      <w:ind w:firstLine="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F564F5">
    <w:pPr>
      <w:pStyle w:val="20"/>
      <w:ind w:firstLine="36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D67C93">
    <w:pPr>
      <w:pStyle w:val="20"/>
      <w:ind w:firstLine="36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C0B265">
    <w:pPr>
      <w:pStyle w:val="20"/>
      <w:ind w:firstLine="36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C2F89B">
    <w:pPr>
      <w:pStyle w:val="20"/>
      <w:ind w:firstLine="360"/>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8DC17">
    <w:pPr>
      <w:pStyle w:val="20"/>
      <w:ind w:firstLine="36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3D1F3B">
    <w:pPr>
      <w:pStyle w:val="20"/>
      <w:ind w:firstLine="36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A21916">
    <w:pPr>
      <w:pStyle w:val="20"/>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7B6CC1">
    <w:pPr>
      <w:pStyle w:val="20"/>
      <w:ind w:firstLine="36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7594E">
    <w:pPr>
      <w:pStyle w:val="20"/>
      <w:ind w:firstLine="360"/>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A2042F">
    <w:pPr>
      <w:pStyle w:val="20"/>
      <w:ind w:firstLine="360"/>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424466">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C5D9A3">
    <w:pPr>
      <w:pStyle w:val="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51A315">
    <w:pPr>
      <w:pStyle w:val="20"/>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769BC6">
    <w:pPr>
      <w:pStyle w:val="2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4C2231">
    <w:pPr>
      <w:pStyle w:val="2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E517F6">
    <w:pPr>
      <w:pStyle w:val="20"/>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357DF3">
    <w:pPr>
      <w:pStyle w:val="20"/>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A55310">
    <w:pPr>
      <w:pStyle w:val="2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557BFD"/>
    <w:multiLevelType w:val="singleLevel"/>
    <w:tmpl w:val="9C557BFD"/>
    <w:lvl w:ilvl="0" w:tentative="0">
      <w:start w:val="2"/>
      <w:numFmt w:val="decimal"/>
      <w:suff w:val="space"/>
      <w:lvlText w:val="(%1)"/>
      <w:lvlJc w:val="left"/>
    </w:lvl>
  </w:abstractNum>
  <w:abstractNum w:abstractNumId="1">
    <w:nsid w:val="042C47E0"/>
    <w:multiLevelType w:val="multilevel"/>
    <w:tmpl w:val="042C47E0"/>
    <w:lvl w:ilvl="0" w:tentative="0">
      <w:start w:val="1"/>
      <w:numFmt w:val="decimal"/>
      <w:pStyle w:val="87"/>
      <w:lvlText w:val="%1."/>
      <w:lvlJc w:val="left"/>
      <w:pPr>
        <w:ind w:left="980" w:hanging="420"/>
      </w:pPr>
      <w:rPr>
        <w:rFonts w:hint="default" w:ascii="Times New Roman" w:hAnsi="Times New Roman" w:cs="Times New Roman"/>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
    <w:nsid w:val="19906EFF"/>
    <w:multiLevelType w:val="multilevel"/>
    <w:tmpl w:val="19906EFF"/>
    <w:lvl w:ilvl="0" w:tentative="0">
      <w:start w:val="1"/>
      <w:numFmt w:val="bullet"/>
      <w:lvlText w:val=""/>
      <w:lvlJc w:val="left"/>
      <w:pPr>
        <w:ind w:left="860" w:hanging="420"/>
      </w:pPr>
      <w:rPr>
        <w:rFonts w:hint="default" w:ascii="Wingdings" w:hAnsi="Wingdings"/>
      </w:rPr>
    </w:lvl>
    <w:lvl w:ilvl="1" w:tentative="0">
      <w:start w:val="1"/>
      <w:numFmt w:val="bullet"/>
      <w:lvlText w:val=""/>
      <w:lvlJc w:val="left"/>
      <w:pPr>
        <w:ind w:left="1280" w:hanging="420"/>
      </w:pPr>
      <w:rPr>
        <w:rFonts w:hint="default" w:ascii="Wingdings" w:hAnsi="Wingdings"/>
      </w:rPr>
    </w:lvl>
    <w:lvl w:ilvl="2" w:tentative="0">
      <w:start w:val="1"/>
      <w:numFmt w:val="bullet"/>
      <w:lvlText w:val=""/>
      <w:lvlJc w:val="left"/>
      <w:pPr>
        <w:ind w:left="1700" w:hanging="420"/>
      </w:pPr>
      <w:rPr>
        <w:rFonts w:hint="default" w:ascii="Wingdings" w:hAnsi="Wingdings"/>
      </w:rPr>
    </w:lvl>
    <w:lvl w:ilvl="3" w:tentative="0">
      <w:start w:val="1"/>
      <w:numFmt w:val="bullet"/>
      <w:lvlText w:val=""/>
      <w:lvlJc w:val="left"/>
      <w:pPr>
        <w:ind w:left="2120" w:hanging="420"/>
      </w:pPr>
      <w:rPr>
        <w:rFonts w:hint="default" w:ascii="Wingdings" w:hAnsi="Wingdings"/>
      </w:rPr>
    </w:lvl>
    <w:lvl w:ilvl="4" w:tentative="0">
      <w:start w:val="1"/>
      <w:numFmt w:val="bullet"/>
      <w:lvlText w:val=""/>
      <w:lvlJc w:val="left"/>
      <w:pPr>
        <w:ind w:left="2540" w:hanging="420"/>
      </w:pPr>
      <w:rPr>
        <w:rFonts w:hint="default" w:ascii="Wingdings" w:hAnsi="Wingdings"/>
      </w:rPr>
    </w:lvl>
    <w:lvl w:ilvl="5" w:tentative="0">
      <w:start w:val="1"/>
      <w:numFmt w:val="bullet"/>
      <w:lvlText w:val=""/>
      <w:lvlJc w:val="left"/>
      <w:pPr>
        <w:ind w:left="2960" w:hanging="420"/>
      </w:pPr>
      <w:rPr>
        <w:rFonts w:hint="default" w:ascii="Wingdings" w:hAnsi="Wingdings"/>
      </w:rPr>
    </w:lvl>
    <w:lvl w:ilvl="6" w:tentative="0">
      <w:start w:val="1"/>
      <w:numFmt w:val="bullet"/>
      <w:lvlText w:val=""/>
      <w:lvlJc w:val="left"/>
      <w:pPr>
        <w:ind w:left="3380" w:hanging="420"/>
      </w:pPr>
      <w:rPr>
        <w:rFonts w:hint="default" w:ascii="Wingdings" w:hAnsi="Wingdings"/>
      </w:rPr>
    </w:lvl>
    <w:lvl w:ilvl="7" w:tentative="0">
      <w:start w:val="1"/>
      <w:numFmt w:val="bullet"/>
      <w:lvlText w:val=""/>
      <w:lvlJc w:val="left"/>
      <w:pPr>
        <w:ind w:left="3800" w:hanging="420"/>
      </w:pPr>
      <w:rPr>
        <w:rFonts w:hint="default" w:ascii="Wingdings" w:hAnsi="Wingdings"/>
      </w:rPr>
    </w:lvl>
    <w:lvl w:ilvl="8" w:tentative="0">
      <w:start w:val="1"/>
      <w:numFmt w:val="bullet"/>
      <w:lvlText w:val=""/>
      <w:lvlJc w:val="left"/>
      <w:pPr>
        <w:ind w:left="4220" w:hanging="420"/>
      </w:pPr>
      <w:rPr>
        <w:rFonts w:hint="default" w:ascii="Wingdings" w:hAnsi="Wingdings"/>
      </w:rPr>
    </w:lvl>
  </w:abstractNum>
  <w:abstractNum w:abstractNumId="3">
    <w:nsid w:val="1D8359D3"/>
    <w:multiLevelType w:val="multilevel"/>
    <w:tmpl w:val="1D8359D3"/>
    <w:lvl w:ilvl="0" w:tentative="0">
      <w:start w:val="1"/>
      <w:numFmt w:val="bullet"/>
      <w:lvlText w:val=""/>
      <w:lvlJc w:val="left"/>
      <w:pPr>
        <w:ind w:left="880" w:hanging="440"/>
      </w:pPr>
      <w:rPr>
        <w:rFonts w:hint="default" w:ascii="Wingdings" w:hAnsi="Wingdings"/>
      </w:rPr>
    </w:lvl>
    <w:lvl w:ilvl="1" w:tentative="0">
      <w:start w:val="1"/>
      <w:numFmt w:val="bullet"/>
      <w:lvlText w:val=""/>
      <w:lvlJc w:val="left"/>
      <w:pPr>
        <w:ind w:left="1320" w:hanging="440"/>
      </w:pPr>
      <w:rPr>
        <w:rFonts w:hint="default" w:ascii="Wingdings" w:hAnsi="Wingdings"/>
      </w:rPr>
    </w:lvl>
    <w:lvl w:ilvl="2" w:tentative="0">
      <w:start w:val="1"/>
      <w:numFmt w:val="bullet"/>
      <w:lvlText w:val=""/>
      <w:lvlJc w:val="left"/>
      <w:pPr>
        <w:ind w:left="1760" w:hanging="440"/>
      </w:pPr>
      <w:rPr>
        <w:rFonts w:hint="default" w:ascii="Wingdings" w:hAnsi="Wingdings"/>
      </w:rPr>
    </w:lvl>
    <w:lvl w:ilvl="3" w:tentative="0">
      <w:start w:val="1"/>
      <w:numFmt w:val="bullet"/>
      <w:lvlText w:val=""/>
      <w:lvlJc w:val="left"/>
      <w:pPr>
        <w:ind w:left="2200" w:hanging="440"/>
      </w:pPr>
      <w:rPr>
        <w:rFonts w:hint="default" w:ascii="Wingdings" w:hAnsi="Wingdings"/>
      </w:rPr>
    </w:lvl>
    <w:lvl w:ilvl="4" w:tentative="0">
      <w:start w:val="1"/>
      <w:numFmt w:val="bullet"/>
      <w:lvlText w:val=""/>
      <w:lvlJc w:val="left"/>
      <w:pPr>
        <w:ind w:left="2640" w:hanging="440"/>
      </w:pPr>
      <w:rPr>
        <w:rFonts w:hint="default" w:ascii="Wingdings" w:hAnsi="Wingdings"/>
      </w:rPr>
    </w:lvl>
    <w:lvl w:ilvl="5" w:tentative="0">
      <w:start w:val="1"/>
      <w:numFmt w:val="bullet"/>
      <w:lvlText w:val=""/>
      <w:lvlJc w:val="left"/>
      <w:pPr>
        <w:ind w:left="3080" w:hanging="440"/>
      </w:pPr>
      <w:rPr>
        <w:rFonts w:hint="default" w:ascii="Wingdings" w:hAnsi="Wingdings"/>
      </w:rPr>
    </w:lvl>
    <w:lvl w:ilvl="6" w:tentative="0">
      <w:start w:val="1"/>
      <w:numFmt w:val="bullet"/>
      <w:lvlText w:val=""/>
      <w:lvlJc w:val="left"/>
      <w:pPr>
        <w:ind w:left="3520" w:hanging="440"/>
      </w:pPr>
      <w:rPr>
        <w:rFonts w:hint="default" w:ascii="Wingdings" w:hAnsi="Wingdings"/>
      </w:rPr>
    </w:lvl>
    <w:lvl w:ilvl="7" w:tentative="0">
      <w:start w:val="1"/>
      <w:numFmt w:val="bullet"/>
      <w:lvlText w:val=""/>
      <w:lvlJc w:val="left"/>
      <w:pPr>
        <w:ind w:left="3960" w:hanging="440"/>
      </w:pPr>
      <w:rPr>
        <w:rFonts w:hint="default" w:ascii="Wingdings" w:hAnsi="Wingdings"/>
      </w:rPr>
    </w:lvl>
    <w:lvl w:ilvl="8" w:tentative="0">
      <w:start w:val="1"/>
      <w:numFmt w:val="bullet"/>
      <w:lvlText w:val=""/>
      <w:lvlJc w:val="left"/>
      <w:pPr>
        <w:ind w:left="4400" w:hanging="440"/>
      </w:pPr>
      <w:rPr>
        <w:rFonts w:hint="default" w:ascii="Wingdings" w:hAnsi="Wingdings"/>
      </w:rPr>
    </w:lvl>
  </w:abstractNum>
  <w:abstractNum w:abstractNumId="4">
    <w:nsid w:val="42073D52"/>
    <w:multiLevelType w:val="multilevel"/>
    <w:tmpl w:val="42073D52"/>
    <w:lvl w:ilvl="0" w:tentative="0">
      <w:start w:val="1"/>
      <w:numFmt w:val="chineseCountingThousand"/>
      <w:pStyle w:val="96"/>
      <w:lvlText w:val="%1、"/>
      <w:lvlJc w:val="left"/>
      <w:pPr>
        <w:ind w:left="1143" w:hanging="420"/>
      </w:pPr>
      <w:rPr>
        <w:rFonts w:hint="eastAsia"/>
      </w:rPr>
    </w:lvl>
    <w:lvl w:ilvl="1" w:tentative="0">
      <w:start w:val="1"/>
      <w:numFmt w:val="lowerLetter"/>
      <w:lvlText w:val="%2)"/>
      <w:lvlJc w:val="left"/>
      <w:pPr>
        <w:ind w:left="1563" w:hanging="420"/>
      </w:pPr>
    </w:lvl>
    <w:lvl w:ilvl="2" w:tentative="0">
      <w:start w:val="1"/>
      <w:numFmt w:val="lowerRoman"/>
      <w:lvlText w:val="%3."/>
      <w:lvlJc w:val="right"/>
      <w:pPr>
        <w:ind w:left="1983" w:hanging="420"/>
      </w:pPr>
    </w:lvl>
    <w:lvl w:ilvl="3" w:tentative="0">
      <w:start w:val="1"/>
      <w:numFmt w:val="decimal"/>
      <w:lvlText w:val="%4."/>
      <w:lvlJc w:val="left"/>
      <w:pPr>
        <w:ind w:left="2403" w:hanging="420"/>
      </w:pPr>
    </w:lvl>
    <w:lvl w:ilvl="4" w:tentative="0">
      <w:start w:val="1"/>
      <w:numFmt w:val="lowerLetter"/>
      <w:lvlText w:val="%5)"/>
      <w:lvlJc w:val="left"/>
      <w:pPr>
        <w:ind w:left="2823" w:hanging="420"/>
      </w:pPr>
    </w:lvl>
    <w:lvl w:ilvl="5" w:tentative="0">
      <w:start w:val="1"/>
      <w:numFmt w:val="lowerRoman"/>
      <w:lvlText w:val="%6."/>
      <w:lvlJc w:val="right"/>
      <w:pPr>
        <w:ind w:left="3243" w:hanging="420"/>
      </w:pPr>
    </w:lvl>
    <w:lvl w:ilvl="6" w:tentative="0">
      <w:start w:val="1"/>
      <w:numFmt w:val="decimal"/>
      <w:lvlText w:val="%7."/>
      <w:lvlJc w:val="left"/>
      <w:pPr>
        <w:ind w:left="3663" w:hanging="420"/>
      </w:pPr>
    </w:lvl>
    <w:lvl w:ilvl="7" w:tentative="0">
      <w:start w:val="1"/>
      <w:numFmt w:val="lowerLetter"/>
      <w:lvlText w:val="%8)"/>
      <w:lvlJc w:val="left"/>
      <w:pPr>
        <w:ind w:left="4083" w:hanging="420"/>
      </w:pPr>
    </w:lvl>
    <w:lvl w:ilvl="8" w:tentative="0">
      <w:start w:val="1"/>
      <w:numFmt w:val="lowerRoman"/>
      <w:lvlText w:val="%9."/>
      <w:lvlJc w:val="right"/>
      <w:pPr>
        <w:ind w:left="4503" w:hanging="420"/>
      </w:pPr>
    </w:lvl>
  </w:abstractNum>
  <w:num w:numId="1">
    <w:abstractNumId w:val="1"/>
  </w:num>
  <w:num w:numId="2">
    <w:abstractNumId w:val="4"/>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6"/>
    <w:footnote w:id="7"/>
  </w:foot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621C"/>
    <w:rsid w:val="000148BE"/>
    <w:rsid w:val="00015124"/>
    <w:rsid w:val="00032F36"/>
    <w:rsid w:val="00057DAE"/>
    <w:rsid w:val="000830BB"/>
    <w:rsid w:val="000C26EF"/>
    <w:rsid w:val="000C52A4"/>
    <w:rsid w:val="000D41E5"/>
    <w:rsid w:val="000D7F27"/>
    <w:rsid w:val="000E487B"/>
    <w:rsid w:val="000F3714"/>
    <w:rsid w:val="000F7C59"/>
    <w:rsid w:val="00102E9B"/>
    <w:rsid w:val="00103714"/>
    <w:rsid w:val="001066A9"/>
    <w:rsid w:val="00126909"/>
    <w:rsid w:val="00132EA8"/>
    <w:rsid w:val="0013568C"/>
    <w:rsid w:val="001362C4"/>
    <w:rsid w:val="00142284"/>
    <w:rsid w:val="00164721"/>
    <w:rsid w:val="00173A81"/>
    <w:rsid w:val="001819EE"/>
    <w:rsid w:val="0019537F"/>
    <w:rsid w:val="001B3490"/>
    <w:rsid w:val="001C7BD3"/>
    <w:rsid w:val="001E42CB"/>
    <w:rsid w:val="00201DED"/>
    <w:rsid w:val="002302E1"/>
    <w:rsid w:val="0023259E"/>
    <w:rsid w:val="002341BF"/>
    <w:rsid w:val="0025354B"/>
    <w:rsid w:val="00255BB0"/>
    <w:rsid w:val="00261916"/>
    <w:rsid w:val="002906D4"/>
    <w:rsid w:val="00292BE4"/>
    <w:rsid w:val="002B4548"/>
    <w:rsid w:val="002E1B82"/>
    <w:rsid w:val="002E7ECF"/>
    <w:rsid w:val="00307FB4"/>
    <w:rsid w:val="00335206"/>
    <w:rsid w:val="00346874"/>
    <w:rsid w:val="00361C6F"/>
    <w:rsid w:val="00374D50"/>
    <w:rsid w:val="00396CB8"/>
    <w:rsid w:val="003A5E00"/>
    <w:rsid w:val="003C039E"/>
    <w:rsid w:val="003D3015"/>
    <w:rsid w:val="003E020B"/>
    <w:rsid w:val="003E4A8A"/>
    <w:rsid w:val="0040009F"/>
    <w:rsid w:val="00445053"/>
    <w:rsid w:val="00460D73"/>
    <w:rsid w:val="004807DF"/>
    <w:rsid w:val="00492071"/>
    <w:rsid w:val="00492894"/>
    <w:rsid w:val="004A6C0A"/>
    <w:rsid w:val="004C069E"/>
    <w:rsid w:val="004D49CE"/>
    <w:rsid w:val="004E5A6C"/>
    <w:rsid w:val="00505E47"/>
    <w:rsid w:val="005170EC"/>
    <w:rsid w:val="005251E2"/>
    <w:rsid w:val="00553DD6"/>
    <w:rsid w:val="00565B8C"/>
    <w:rsid w:val="005679E5"/>
    <w:rsid w:val="0059751A"/>
    <w:rsid w:val="005A0227"/>
    <w:rsid w:val="005C278A"/>
    <w:rsid w:val="005F0642"/>
    <w:rsid w:val="006239EB"/>
    <w:rsid w:val="006301EB"/>
    <w:rsid w:val="006340BE"/>
    <w:rsid w:val="00640B7D"/>
    <w:rsid w:val="0064147E"/>
    <w:rsid w:val="0066403F"/>
    <w:rsid w:val="006704B8"/>
    <w:rsid w:val="006A48CF"/>
    <w:rsid w:val="006C02A3"/>
    <w:rsid w:val="006C7265"/>
    <w:rsid w:val="0070053C"/>
    <w:rsid w:val="00724900"/>
    <w:rsid w:val="00737061"/>
    <w:rsid w:val="00737C7F"/>
    <w:rsid w:val="007566AA"/>
    <w:rsid w:val="00770288"/>
    <w:rsid w:val="00770E8A"/>
    <w:rsid w:val="007D5659"/>
    <w:rsid w:val="007E7160"/>
    <w:rsid w:val="00805857"/>
    <w:rsid w:val="00843A1C"/>
    <w:rsid w:val="00845610"/>
    <w:rsid w:val="00860BB3"/>
    <w:rsid w:val="008808D9"/>
    <w:rsid w:val="0088307D"/>
    <w:rsid w:val="0089713D"/>
    <w:rsid w:val="008B6410"/>
    <w:rsid w:val="0090621C"/>
    <w:rsid w:val="00922488"/>
    <w:rsid w:val="00945E25"/>
    <w:rsid w:val="00953957"/>
    <w:rsid w:val="009557DA"/>
    <w:rsid w:val="009C485F"/>
    <w:rsid w:val="00A01F4A"/>
    <w:rsid w:val="00A311BA"/>
    <w:rsid w:val="00A457E2"/>
    <w:rsid w:val="00A60D6D"/>
    <w:rsid w:val="00A93B00"/>
    <w:rsid w:val="00AE417A"/>
    <w:rsid w:val="00AE4D70"/>
    <w:rsid w:val="00B14F09"/>
    <w:rsid w:val="00B17964"/>
    <w:rsid w:val="00B264D1"/>
    <w:rsid w:val="00B264F2"/>
    <w:rsid w:val="00B346BE"/>
    <w:rsid w:val="00B55C0F"/>
    <w:rsid w:val="00B64B11"/>
    <w:rsid w:val="00B7451B"/>
    <w:rsid w:val="00BA6E01"/>
    <w:rsid w:val="00BB554F"/>
    <w:rsid w:val="00BB6BCA"/>
    <w:rsid w:val="00BB7F04"/>
    <w:rsid w:val="00BE2F2F"/>
    <w:rsid w:val="00BE7D29"/>
    <w:rsid w:val="00BF5EE6"/>
    <w:rsid w:val="00C0624F"/>
    <w:rsid w:val="00C4692D"/>
    <w:rsid w:val="00C57200"/>
    <w:rsid w:val="00C9748C"/>
    <w:rsid w:val="00CF64BB"/>
    <w:rsid w:val="00D019B8"/>
    <w:rsid w:val="00D25365"/>
    <w:rsid w:val="00D271C4"/>
    <w:rsid w:val="00D406AA"/>
    <w:rsid w:val="00D47EF0"/>
    <w:rsid w:val="00D85F2B"/>
    <w:rsid w:val="00D9630A"/>
    <w:rsid w:val="00DD0A9D"/>
    <w:rsid w:val="00DD1BC6"/>
    <w:rsid w:val="00DF43AE"/>
    <w:rsid w:val="00DF6743"/>
    <w:rsid w:val="00E039A3"/>
    <w:rsid w:val="00E179FF"/>
    <w:rsid w:val="00E216DB"/>
    <w:rsid w:val="00E21757"/>
    <w:rsid w:val="00E57C36"/>
    <w:rsid w:val="00E72733"/>
    <w:rsid w:val="00EA6D3E"/>
    <w:rsid w:val="00EB347A"/>
    <w:rsid w:val="00EE18D5"/>
    <w:rsid w:val="00F05A07"/>
    <w:rsid w:val="00F11C55"/>
    <w:rsid w:val="00F17D77"/>
    <w:rsid w:val="00F21E8C"/>
    <w:rsid w:val="00F4266F"/>
    <w:rsid w:val="00F530B3"/>
    <w:rsid w:val="00F56570"/>
    <w:rsid w:val="00F73806"/>
    <w:rsid w:val="00FB5E4C"/>
    <w:rsid w:val="292D7E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name="heading 4"/>
    <w:lsdException w:qFormat="1" w:unhideWhenUsed="0" w:uiPriority="0" w:semiHidden="0" w:name="heading 5"/>
    <w:lsdException w:qFormat="1" w:uiPriority="9" w:semiHidden="0" w:name="heading 6"/>
    <w:lsdException w:qFormat="1" w:uiPriority="9" w:name="heading 7"/>
    <w:lsdException w:qFormat="1" w:uiPriority="9" w:name="heading 8"/>
    <w:lsdException w:qFormat="1" w:uiPriority="9" w:name="heading 9"/>
    <w:lsdException w:qFormat="1" w:uiPriority="0" w:name="index 1"/>
    <w:lsdException w:uiPriority="99" w:name="index 2"/>
    <w:lsdException w:uiPriority="99" w:name="index 3"/>
    <w:lsdException w:uiPriority="99" w:name="index 4"/>
    <w:lsdException w:qFormat="1" w:unhideWhenUsed="0" w:uiPriority="0" w:semiHidden="0"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iPriority="0" w:name="footnote text"/>
    <w:lsdException w:qFormat="1" w:uiPriority="99" w:semiHidden="0" w:name="annotation text"/>
    <w:lsdException w:qFormat="1" w:uiPriority="0" w:semiHidden="0" w:name="header"/>
    <w:lsdException w:qFormat="1" w:uiPriority="99" w:semiHidden="0" w:name="footer"/>
    <w:lsdException w:qFormat="1" w:uiPriority="99" w:semiHidden="0" w:name="index heading"/>
    <w:lsdException w:qFormat="1" w:uiPriority="35" w:name="caption"/>
    <w:lsdException w:uiPriority="99" w:name="table of figures"/>
    <w:lsdException w:uiPriority="99" w:name="envelope address"/>
    <w:lsdException w:uiPriority="99" w:name="envelope return"/>
    <w:lsdException w:qFormat="1" w:uiPriority="0" w:name="footnote reference"/>
    <w:lsdException w:uiPriority="99" w:name="annotation reference"/>
    <w:lsdException w:uiPriority="99" w:name="line number"/>
    <w:lsdException w:qFormat="1" w:unhideWhenUsed="0" w:uiPriority="0" w:semiHidden="0" w:name="page number"/>
    <w:lsdException w:uiPriority="99" w:name="endnote reference"/>
    <w:lsdException w:qFormat="1" w:unhideWhenUsed="0" w:uiPriority="0"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qFormat="1" w:uiPriority="99"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7"/>
    <w:qFormat/>
    <w:uiPriority w:val="0"/>
    <w:pPr>
      <w:snapToGrid w:val="0"/>
      <w:spacing w:line="600" w:lineRule="exact"/>
      <w:ind w:firstLine="880" w:firstLineChars="200"/>
      <w:outlineLvl w:val="0"/>
    </w:pPr>
    <w:rPr>
      <w:rFonts w:ascii="Calibri" w:hAnsi="Calibri" w:eastAsia="黑体" w:cs="Times New Roman"/>
      <w:b/>
      <w:kern w:val="44"/>
      <w:sz w:val="36"/>
      <w:szCs w:val="24"/>
    </w:rPr>
  </w:style>
  <w:style w:type="paragraph" w:styleId="3">
    <w:name w:val="heading 2"/>
    <w:basedOn w:val="1"/>
    <w:next w:val="1"/>
    <w:link w:val="48"/>
    <w:unhideWhenUsed/>
    <w:qFormat/>
    <w:uiPriority w:val="0"/>
    <w:pPr>
      <w:snapToGrid w:val="0"/>
      <w:spacing w:before="100" w:beforeAutospacing="1" w:after="100" w:afterAutospacing="1" w:line="360" w:lineRule="exact"/>
      <w:ind w:firstLine="200" w:firstLineChars="200"/>
      <w:jc w:val="left"/>
      <w:outlineLvl w:val="1"/>
    </w:pPr>
    <w:rPr>
      <w:rFonts w:hint="eastAsia" w:ascii="宋体" w:hAnsi="宋体" w:eastAsia="宋体" w:cs="Times New Roman"/>
      <w:b/>
      <w:kern w:val="0"/>
      <w:sz w:val="36"/>
      <w:szCs w:val="36"/>
    </w:rPr>
  </w:style>
  <w:style w:type="paragraph" w:styleId="4">
    <w:name w:val="heading 3"/>
    <w:basedOn w:val="1"/>
    <w:next w:val="1"/>
    <w:link w:val="49"/>
    <w:unhideWhenUsed/>
    <w:qFormat/>
    <w:uiPriority w:val="0"/>
    <w:pPr>
      <w:snapToGrid w:val="0"/>
      <w:spacing w:line="600" w:lineRule="exact"/>
      <w:ind w:firstLine="200" w:firstLineChars="200"/>
      <w:outlineLvl w:val="2"/>
    </w:pPr>
    <w:rPr>
      <w:rFonts w:ascii="Times New Roman" w:hAnsi="Times New Roman" w:eastAsia="仿宋" w:cs="Times New Roman"/>
      <w:b/>
      <w:bCs/>
      <w:sz w:val="22"/>
      <w:szCs w:val="32"/>
    </w:rPr>
  </w:style>
  <w:style w:type="paragraph" w:styleId="5">
    <w:name w:val="heading 5"/>
    <w:basedOn w:val="1"/>
    <w:next w:val="1"/>
    <w:link w:val="50"/>
    <w:qFormat/>
    <w:uiPriority w:val="0"/>
    <w:pPr>
      <w:keepNext/>
      <w:keepLines/>
      <w:snapToGrid w:val="0"/>
      <w:spacing w:before="280" w:after="290" w:line="376" w:lineRule="auto"/>
      <w:ind w:firstLine="200" w:firstLineChars="200"/>
      <w:outlineLvl w:val="4"/>
    </w:pPr>
    <w:rPr>
      <w:rFonts w:ascii="Times New Roman" w:hAnsi="Times New Roman" w:eastAsia="仿宋" w:cs="Times New Roman"/>
      <w:b/>
      <w:sz w:val="28"/>
      <w:szCs w:val="20"/>
    </w:rPr>
  </w:style>
  <w:style w:type="paragraph" w:styleId="6">
    <w:name w:val="heading 6"/>
    <w:basedOn w:val="1"/>
    <w:next w:val="1"/>
    <w:link w:val="51"/>
    <w:unhideWhenUsed/>
    <w:qFormat/>
    <w:uiPriority w:val="9"/>
    <w:pPr>
      <w:keepNext/>
      <w:keepLines/>
      <w:snapToGrid w:val="0"/>
      <w:spacing w:before="240" w:after="64" w:line="320" w:lineRule="auto"/>
      <w:ind w:firstLine="200" w:firstLineChars="200"/>
      <w:outlineLvl w:val="5"/>
    </w:pPr>
    <w:rPr>
      <w:rFonts w:ascii="等线 Light" w:hAnsi="等线 Light" w:eastAsia="等线 Light" w:cs="Times New Roman"/>
      <w:b/>
      <w:bCs/>
      <w:sz w:val="22"/>
      <w:szCs w:val="24"/>
    </w:r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7">
    <w:name w:val="Normal Indent"/>
    <w:basedOn w:val="1"/>
    <w:next w:val="1"/>
    <w:qFormat/>
    <w:uiPriority w:val="0"/>
    <w:pPr>
      <w:snapToGrid w:val="0"/>
      <w:spacing w:line="360" w:lineRule="exact"/>
      <w:ind w:firstLine="420" w:firstLineChars="200"/>
    </w:pPr>
    <w:rPr>
      <w:rFonts w:ascii="Times New Roman" w:hAnsi="Times New Roman" w:eastAsia="仿宋" w:cs="Times New Roman"/>
      <w:sz w:val="22"/>
      <w:szCs w:val="20"/>
    </w:rPr>
  </w:style>
  <w:style w:type="paragraph" w:styleId="8">
    <w:name w:val="index 5"/>
    <w:basedOn w:val="1"/>
    <w:next w:val="1"/>
    <w:qFormat/>
    <w:uiPriority w:val="0"/>
    <w:pPr>
      <w:snapToGrid w:val="0"/>
      <w:spacing w:line="360" w:lineRule="exact"/>
      <w:ind w:left="800" w:leftChars="800" w:firstLine="200" w:firstLineChars="200"/>
    </w:pPr>
    <w:rPr>
      <w:rFonts w:ascii="Times New Roman" w:hAnsi="Times New Roman" w:eastAsia="仿宋" w:cs="Times New Roman"/>
      <w:sz w:val="22"/>
      <w:szCs w:val="24"/>
    </w:rPr>
  </w:style>
  <w:style w:type="paragraph" w:styleId="9">
    <w:name w:val="Document Map"/>
    <w:basedOn w:val="1"/>
    <w:link w:val="53"/>
    <w:qFormat/>
    <w:uiPriority w:val="0"/>
    <w:pPr>
      <w:snapToGrid w:val="0"/>
      <w:spacing w:line="360" w:lineRule="exact"/>
      <w:ind w:firstLine="200" w:firstLineChars="200"/>
    </w:pPr>
    <w:rPr>
      <w:rFonts w:ascii="宋体" w:hAnsi="Times New Roman" w:eastAsia="宋体" w:cs="Times New Roman"/>
      <w:sz w:val="18"/>
      <w:szCs w:val="18"/>
    </w:rPr>
  </w:style>
  <w:style w:type="paragraph" w:styleId="10">
    <w:name w:val="annotation text"/>
    <w:basedOn w:val="1"/>
    <w:link w:val="43"/>
    <w:unhideWhenUsed/>
    <w:qFormat/>
    <w:uiPriority w:val="99"/>
    <w:pPr>
      <w:jc w:val="left"/>
    </w:pPr>
  </w:style>
  <w:style w:type="paragraph" w:styleId="11">
    <w:name w:val="Body Text"/>
    <w:basedOn w:val="1"/>
    <w:next w:val="1"/>
    <w:link w:val="54"/>
    <w:qFormat/>
    <w:uiPriority w:val="0"/>
    <w:pPr>
      <w:snapToGrid w:val="0"/>
      <w:spacing w:after="120" w:line="360" w:lineRule="exact"/>
      <w:ind w:firstLine="200" w:firstLineChars="200"/>
    </w:pPr>
    <w:rPr>
      <w:rFonts w:ascii="Times New Roman" w:hAnsi="Times New Roman" w:eastAsia="仿宋" w:cs="Times New Roman"/>
      <w:sz w:val="22"/>
      <w:szCs w:val="24"/>
    </w:rPr>
  </w:style>
  <w:style w:type="paragraph" w:styleId="12">
    <w:name w:val="Body Text Indent"/>
    <w:basedOn w:val="1"/>
    <w:link w:val="55"/>
    <w:qFormat/>
    <w:uiPriority w:val="99"/>
    <w:pPr>
      <w:snapToGrid w:val="0"/>
      <w:spacing w:after="120" w:line="360" w:lineRule="exact"/>
      <w:ind w:left="420" w:leftChars="200" w:firstLine="200" w:firstLineChars="200"/>
    </w:pPr>
    <w:rPr>
      <w:rFonts w:ascii="Times New Roman" w:hAnsi="Times New Roman" w:eastAsia="仿宋" w:cs="Times New Roman"/>
      <w:sz w:val="22"/>
      <w:szCs w:val="24"/>
    </w:rPr>
  </w:style>
  <w:style w:type="paragraph" w:styleId="13">
    <w:name w:val="Block Text"/>
    <w:basedOn w:val="1"/>
    <w:link w:val="94"/>
    <w:unhideWhenUsed/>
    <w:qFormat/>
    <w:uiPriority w:val="99"/>
    <w:pPr>
      <w:snapToGrid w:val="0"/>
    </w:pPr>
    <w:rPr>
      <w:rFonts w:ascii="Calibri" w:hAnsi="Calibri" w:eastAsia="宋体" w:cs="Times New Roman"/>
      <w:sz w:val="22"/>
      <w:szCs w:val="21"/>
    </w:rPr>
  </w:style>
  <w:style w:type="paragraph" w:styleId="14">
    <w:name w:val="toc 3"/>
    <w:basedOn w:val="1"/>
    <w:next w:val="1"/>
    <w:qFormat/>
    <w:uiPriority w:val="39"/>
    <w:pPr>
      <w:snapToGrid w:val="0"/>
      <w:spacing w:line="360" w:lineRule="exact"/>
      <w:ind w:left="840" w:leftChars="400" w:firstLine="200" w:firstLineChars="200"/>
    </w:pPr>
    <w:rPr>
      <w:rFonts w:ascii="Times New Roman" w:hAnsi="Times New Roman" w:eastAsia="仿宋" w:cs="Times New Roman"/>
      <w:sz w:val="22"/>
      <w:szCs w:val="24"/>
    </w:rPr>
  </w:style>
  <w:style w:type="paragraph" w:styleId="15">
    <w:name w:val="Plain Text"/>
    <w:basedOn w:val="1"/>
    <w:link w:val="57"/>
    <w:qFormat/>
    <w:uiPriority w:val="0"/>
    <w:pPr>
      <w:snapToGrid w:val="0"/>
      <w:spacing w:line="360" w:lineRule="exact"/>
      <w:ind w:firstLine="200" w:firstLineChars="200"/>
    </w:pPr>
    <w:rPr>
      <w:rFonts w:ascii="宋体" w:hAnsi="Courier New" w:eastAsia="仿宋" w:cs="Century"/>
      <w:sz w:val="22"/>
      <w:szCs w:val="21"/>
    </w:rPr>
  </w:style>
  <w:style w:type="paragraph" w:styleId="16">
    <w:name w:val="Body Text Indent 2"/>
    <w:basedOn w:val="1"/>
    <w:next w:val="1"/>
    <w:link w:val="59"/>
    <w:qFormat/>
    <w:uiPriority w:val="0"/>
    <w:pPr>
      <w:snapToGrid w:val="0"/>
      <w:spacing w:line="560" w:lineRule="exact"/>
      <w:ind w:firstLine="538" w:firstLineChars="192"/>
    </w:pPr>
    <w:rPr>
      <w:rFonts w:ascii="宋体" w:hAnsi="宋体" w:eastAsia="仿宋_GB2312" w:cs="宋体"/>
      <w:sz w:val="28"/>
      <w:szCs w:val="28"/>
    </w:rPr>
  </w:style>
  <w:style w:type="paragraph" w:styleId="17">
    <w:name w:val="endnote text"/>
    <w:basedOn w:val="1"/>
    <w:link w:val="60"/>
    <w:qFormat/>
    <w:uiPriority w:val="0"/>
    <w:pPr>
      <w:snapToGrid w:val="0"/>
      <w:spacing w:line="360" w:lineRule="exact"/>
      <w:ind w:firstLine="200" w:firstLineChars="200"/>
    </w:pPr>
    <w:rPr>
      <w:rFonts w:ascii="Times New Roman" w:hAnsi="Times New Roman" w:eastAsia="仿宋" w:cs="Times New Roman"/>
      <w:sz w:val="22"/>
      <w:szCs w:val="24"/>
    </w:rPr>
  </w:style>
  <w:style w:type="paragraph" w:styleId="18">
    <w:name w:val="Balloon Text"/>
    <w:basedOn w:val="1"/>
    <w:link w:val="61"/>
    <w:qFormat/>
    <w:uiPriority w:val="0"/>
    <w:pPr>
      <w:snapToGrid w:val="0"/>
      <w:ind w:firstLine="200" w:firstLineChars="200"/>
    </w:pPr>
    <w:rPr>
      <w:rFonts w:ascii="Times New Roman" w:hAnsi="Times New Roman" w:eastAsia="仿宋" w:cs="Times New Roman"/>
      <w:sz w:val="18"/>
      <w:szCs w:val="18"/>
    </w:rPr>
  </w:style>
  <w:style w:type="paragraph" w:styleId="19">
    <w:name w:val="footer"/>
    <w:basedOn w:val="1"/>
    <w:link w:val="42"/>
    <w:unhideWhenUsed/>
    <w:qFormat/>
    <w:uiPriority w:val="99"/>
    <w:pPr>
      <w:tabs>
        <w:tab w:val="center" w:pos="4153"/>
        <w:tab w:val="right" w:pos="8306"/>
      </w:tabs>
      <w:snapToGrid w:val="0"/>
      <w:jc w:val="left"/>
    </w:pPr>
    <w:rPr>
      <w:sz w:val="18"/>
      <w:szCs w:val="18"/>
    </w:rPr>
  </w:style>
  <w:style w:type="paragraph" w:styleId="20">
    <w:name w:val="header"/>
    <w:basedOn w:val="1"/>
    <w:link w:val="41"/>
    <w:unhideWhenUsed/>
    <w:qFormat/>
    <w:uiPriority w:val="0"/>
    <w:pPr>
      <w:tabs>
        <w:tab w:val="center" w:pos="4153"/>
        <w:tab w:val="right" w:pos="8306"/>
      </w:tabs>
      <w:snapToGrid w:val="0"/>
      <w:jc w:val="center"/>
    </w:pPr>
    <w:rPr>
      <w:sz w:val="18"/>
      <w:szCs w:val="18"/>
    </w:rPr>
  </w:style>
  <w:style w:type="paragraph" w:styleId="21">
    <w:name w:val="toc 1"/>
    <w:basedOn w:val="1"/>
    <w:next w:val="1"/>
    <w:link w:val="68"/>
    <w:qFormat/>
    <w:uiPriority w:val="39"/>
    <w:pPr>
      <w:snapToGrid w:val="0"/>
      <w:spacing w:line="460" w:lineRule="exact"/>
      <w:ind w:firstLine="200" w:firstLineChars="200"/>
    </w:pPr>
    <w:rPr>
      <w:rFonts w:ascii="Times New Roman" w:hAnsi="Times New Roman" w:eastAsia="宋体" w:cs="Times New Roman"/>
      <w:sz w:val="22"/>
      <w:szCs w:val="24"/>
    </w:rPr>
  </w:style>
  <w:style w:type="paragraph" w:styleId="22">
    <w:name w:val="index heading"/>
    <w:basedOn w:val="1"/>
    <w:next w:val="1"/>
    <w:unhideWhenUsed/>
    <w:qFormat/>
    <w:uiPriority w:val="99"/>
    <w:pPr>
      <w:snapToGrid w:val="0"/>
      <w:spacing w:line="360" w:lineRule="exact"/>
      <w:ind w:firstLine="200" w:firstLineChars="200"/>
    </w:pPr>
    <w:rPr>
      <w:rFonts w:ascii="Times New Roman" w:hAnsi="Times New Roman" w:eastAsia="仿宋" w:cs="Times New Roman"/>
      <w:b/>
      <w:sz w:val="22"/>
      <w:szCs w:val="24"/>
    </w:rPr>
  </w:style>
  <w:style w:type="paragraph" w:styleId="23">
    <w:name w:val="footnote text"/>
    <w:basedOn w:val="1"/>
    <w:link w:val="46"/>
    <w:semiHidden/>
    <w:unhideWhenUsed/>
    <w:qFormat/>
    <w:uiPriority w:val="0"/>
    <w:pPr>
      <w:snapToGrid w:val="0"/>
      <w:spacing w:line="360" w:lineRule="exact"/>
      <w:ind w:firstLine="200" w:firstLineChars="200"/>
      <w:jc w:val="left"/>
    </w:pPr>
    <w:rPr>
      <w:rFonts w:ascii="Times New Roman" w:hAnsi="Times New Roman" w:eastAsia="仿宋" w:cs="Times New Roman"/>
      <w:sz w:val="18"/>
      <w:szCs w:val="18"/>
    </w:rPr>
  </w:style>
  <w:style w:type="paragraph" w:styleId="24">
    <w:name w:val="toc 2"/>
    <w:basedOn w:val="1"/>
    <w:next w:val="1"/>
    <w:link w:val="69"/>
    <w:qFormat/>
    <w:uiPriority w:val="39"/>
    <w:pPr>
      <w:snapToGrid w:val="0"/>
      <w:spacing w:line="460" w:lineRule="exact"/>
      <w:ind w:left="420" w:leftChars="200" w:firstLine="200" w:firstLineChars="200"/>
    </w:pPr>
    <w:rPr>
      <w:rFonts w:ascii="Times New Roman" w:hAnsi="Times New Roman" w:eastAsia="楷体" w:cs="Times New Roman"/>
      <w:sz w:val="22"/>
      <w:szCs w:val="24"/>
    </w:rPr>
  </w:style>
  <w:style w:type="paragraph" w:styleId="25">
    <w:name w:val="HTML Preformatted"/>
    <w:basedOn w:val="1"/>
    <w:link w:val="65"/>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360" w:lineRule="exact"/>
      <w:ind w:firstLine="200" w:firstLineChars="200"/>
      <w:jc w:val="left"/>
    </w:pPr>
    <w:rPr>
      <w:rFonts w:hint="eastAsia" w:ascii="宋体" w:hAnsi="宋体" w:eastAsia="宋体" w:cs="Times New Roman"/>
      <w:kern w:val="0"/>
      <w:sz w:val="22"/>
      <w:szCs w:val="24"/>
    </w:rPr>
  </w:style>
  <w:style w:type="paragraph" w:styleId="26">
    <w:name w:val="Normal (Web)"/>
    <w:basedOn w:val="1"/>
    <w:qFormat/>
    <w:uiPriority w:val="99"/>
    <w:pPr>
      <w:snapToGrid w:val="0"/>
      <w:spacing w:beforeAutospacing="1" w:afterAutospacing="1" w:line="360" w:lineRule="exact"/>
      <w:ind w:firstLine="200" w:firstLineChars="200"/>
      <w:jc w:val="left"/>
    </w:pPr>
    <w:rPr>
      <w:rFonts w:ascii="Times New Roman" w:hAnsi="Times New Roman" w:eastAsia="仿宋" w:cs="Times New Roman"/>
      <w:kern w:val="0"/>
      <w:sz w:val="22"/>
      <w:szCs w:val="24"/>
    </w:rPr>
  </w:style>
  <w:style w:type="paragraph" w:styleId="27">
    <w:name w:val="index 1"/>
    <w:basedOn w:val="1"/>
    <w:next w:val="1"/>
    <w:autoRedefine/>
    <w:semiHidden/>
    <w:unhideWhenUsed/>
    <w:qFormat/>
    <w:uiPriority w:val="0"/>
  </w:style>
  <w:style w:type="paragraph" w:styleId="28">
    <w:name w:val="annotation subject"/>
    <w:basedOn w:val="10"/>
    <w:next w:val="10"/>
    <w:link w:val="137"/>
    <w:semiHidden/>
    <w:unhideWhenUsed/>
    <w:uiPriority w:val="0"/>
    <w:pPr>
      <w:snapToGrid w:val="0"/>
      <w:spacing w:line="360" w:lineRule="exact"/>
      <w:ind w:firstLine="200" w:firstLineChars="200"/>
    </w:pPr>
    <w:rPr>
      <w:rFonts w:ascii="Times New Roman" w:hAnsi="Times New Roman" w:eastAsia="仿宋" w:cs="Times New Roman"/>
      <w:b/>
      <w:bCs/>
      <w:sz w:val="22"/>
      <w:szCs w:val="24"/>
    </w:rPr>
  </w:style>
  <w:style w:type="paragraph" w:styleId="29">
    <w:name w:val="Body Text First Indent"/>
    <w:basedOn w:val="11"/>
    <w:link w:val="66"/>
    <w:unhideWhenUsed/>
    <w:qFormat/>
    <w:uiPriority w:val="0"/>
    <w:pPr>
      <w:spacing w:line="240" w:lineRule="auto"/>
      <w:ind w:firstLine="420" w:firstLineChars="100"/>
    </w:pPr>
    <w:rPr>
      <w:rFonts w:eastAsia="宋体"/>
    </w:rPr>
  </w:style>
  <w:style w:type="paragraph" w:styleId="30">
    <w:name w:val="Body Text First Indent 2"/>
    <w:basedOn w:val="12"/>
    <w:link w:val="67"/>
    <w:qFormat/>
    <w:uiPriority w:val="0"/>
    <w:pPr>
      <w:ind w:firstLine="420"/>
    </w:pPr>
    <w:rPr>
      <w:kern w:val="0"/>
      <w:sz w:val="20"/>
    </w:rPr>
  </w:style>
  <w:style w:type="table" w:styleId="32">
    <w:name w:val="Table Grid"/>
    <w:basedOn w:val="31"/>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4">
    <w:name w:val="Strong"/>
    <w:basedOn w:val="33"/>
    <w:qFormat/>
    <w:uiPriority w:val="0"/>
    <w:rPr>
      <w:b/>
    </w:rPr>
  </w:style>
  <w:style w:type="character" w:styleId="35">
    <w:name w:val="page number"/>
    <w:basedOn w:val="33"/>
    <w:autoRedefine/>
    <w:qFormat/>
    <w:uiPriority w:val="0"/>
  </w:style>
  <w:style w:type="character" w:styleId="36">
    <w:name w:val="FollowedHyperlink"/>
    <w:basedOn w:val="33"/>
    <w:qFormat/>
    <w:uiPriority w:val="0"/>
    <w:rPr>
      <w:color w:val="333333"/>
      <w:u w:val="none"/>
    </w:rPr>
  </w:style>
  <w:style w:type="character" w:styleId="37">
    <w:name w:val="Emphasis"/>
    <w:qFormat/>
    <w:uiPriority w:val="0"/>
    <w:rPr>
      <w:i/>
    </w:rPr>
  </w:style>
  <w:style w:type="character" w:styleId="38">
    <w:name w:val="Hyperlink"/>
    <w:qFormat/>
    <w:uiPriority w:val="99"/>
    <w:rPr>
      <w:rFonts w:cs="Times New Roman"/>
      <w:color w:val="0000FF"/>
      <w:u w:val="single"/>
    </w:rPr>
  </w:style>
  <w:style w:type="character" w:styleId="39">
    <w:name w:val="annotation reference"/>
    <w:basedOn w:val="33"/>
    <w:semiHidden/>
    <w:unhideWhenUsed/>
    <w:uiPriority w:val="99"/>
    <w:rPr>
      <w:sz w:val="21"/>
      <w:szCs w:val="21"/>
    </w:rPr>
  </w:style>
  <w:style w:type="character" w:styleId="40">
    <w:name w:val="footnote reference"/>
    <w:basedOn w:val="33"/>
    <w:semiHidden/>
    <w:unhideWhenUsed/>
    <w:qFormat/>
    <w:uiPriority w:val="0"/>
    <w:rPr>
      <w:vertAlign w:val="superscript"/>
    </w:rPr>
  </w:style>
  <w:style w:type="character" w:customStyle="1" w:styleId="41">
    <w:name w:val="页眉 Char"/>
    <w:basedOn w:val="33"/>
    <w:link w:val="20"/>
    <w:qFormat/>
    <w:uiPriority w:val="0"/>
    <w:rPr>
      <w:sz w:val="18"/>
      <w:szCs w:val="18"/>
    </w:rPr>
  </w:style>
  <w:style w:type="character" w:customStyle="1" w:styleId="42">
    <w:name w:val="页脚 Char"/>
    <w:basedOn w:val="33"/>
    <w:link w:val="19"/>
    <w:qFormat/>
    <w:uiPriority w:val="99"/>
    <w:rPr>
      <w:sz w:val="18"/>
      <w:szCs w:val="18"/>
    </w:rPr>
  </w:style>
  <w:style w:type="character" w:customStyle="1" w:styleId="43">
    <w:name w:val="批注文字 Char"/>
    <w:basedOn w:val="33"/>
    <w:link w:val="10"/>
    <w:uiPriority w:val="99"/>
  </w:style>
  <w:style w:type="table" w:customStyle="1" w:styleId="44">
    <w:name w:val="清单表 6 彩色 - 着色 31"/>
    <w:basedOn w:val="31"/>
    <w:autoRedefine/>
    <w:qFormat/>
    <w:uiPriority w:val="51"/>
    <w:pPr>
      <w:suppressAutoHyphens/>
    </w:pPr>
    <w:rPr>
      <w:rFonts w:ascii="Times New Roman" w:hAnsi="Times New Roman" w:eastAsia="宋体" w:cs="Times New Roman"/>
      <w:color w:val="7B7B7B" w:themeColor="accent3" w:themeShade="BF"/>
      <w:kern w:val="0"/>
      <w:sz w:val="20"/>
      <w:szCs w:val="20"/>
    </w:rPr>
    <w:tblPr>
      <w:tblBorders>
        <w:top w:val="single" w:color="A5A5A5" w:themeColor="accent3" w:sz="4" w:space="0"/>
        <w:bottom w:val="single" w:color="A5A5A5" w:themeColor="accent3" w:sz="4" w:space="0"/>
      </w:tblBorders>
      <w:tblCellMar>
        <w:top w:w="0" w:type="dxa"/>
        <w:left w:w="108" w:type="dxa"/>
        <w:bottom w:w="0" w:type="dxa"/>
        <w:right w:w="108" w:type="dxa"/>
      </w:tblCellMar>
    </w:tblPr>
    <w:tblStylePr w:type="firstRow">
      <w:rPr>
        <w:b/>
        <w:bCs/>
      </w:rPr>
      <w:tcPr>
        <w:tcBorders>
          <w:bottom w:val="single" w:color="A5A5A5" w:themeColor="accent3" w:sz="4" w:space="0"/>
        </w:tcBorders>
      </w:tcPr>
    </w:tblStylePr>
    <w:tblStylePr w:type="lastRow">
      <w:rPr>
        <w:b/>
        <w:bCs/>
      </w:rPr>
      <w:tcPr>
        <w:tcBorders>
          <w:top w:val="double" w:color="A5A5A5" w:themeColor="accent3"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45">
    <w:name w:val="清单表 2 - 着色 31"/>
    <w:basedOn w:val="31"/>
    <w:autoRedefine/>
    <w:qFormat/>
    <w:uiPriority w:val="47"/>
    <w:rPr>
      <w:rFonts w:ascii="Times New Roman" w:hAnsi="Times New Roman" w:eastAsia="宋体" w:cs="Times New Roman"/>
      <w:kern w:val="0"/>
      <w:sz w:val="20"/>
      <w:szCs w:val="20"/>
    </w:rPr>
    <w:tblPr>
      <w:tblBorders>
        <w:top w:val="single" w:color="C8C8C8" w:themeColor="accent3" w:themeTint="99" w:sz="4" w:space="0"/>
        <w:bottom w:val="single" w:color="C8C8C8" w:themeColor="accent3" w:themeTint="99" w:sz="4" w:space="0"/>
        <w:insideH w:val="single" w:color="C8C8C8" w:themeColor="accent3" w:themeTint="99" w:sz="4" w:space="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character" w:customStyle="1" w:styleId="46">
    <w:name w:val="脚注文本 Char"/>
    <w:basedOn w:val="33"/>
    <w:link w:val="23"/>
    <w:semiHidden/>
    <w:uiPriority w:val="0"/>
    <w:rPr>
      <w:rFonts w:ascii="Times New Roman" w:hAnsi="Times New Roman" w:eastAsia="仿宋" w:cs="Times New Roman"/>
      <w:sz w:val="18"/>
      <w:szCs w:val="18"/>
    </w:rPr>
  </w:style>
  <w:style w:type="character" w:customStyle="1" w:styleId="47">
    <w:name w:val="标题 1 Char"/>
    <w:basedOn w:val="33"/>
    <w:link w:val="2"/>
    <w:qFormat/>
    <w:uiPriority w:val="0"/>
    <w:rPr>
      <w:rFonts w:ascii="Calibri" w:hAnsi="Calibri" w:eastAsia="黑体" w:cs="Times New Roman"/>
      <w:b/>
      <w:kern w:val="44"/>
      <w:sz w:val="36"/>
      <w:szCs w:val="24"/>
    </w:rPr>
  </w:style>
  <w:style w:type="character" w:customStyle="1" w:styleId="48">
    <w:name w:val="标题 2 Char"/>
    <w:basedOn w:val="33"/>
    <w:link w:val="3"/>
    <w:qFormat/>
    <w:uiPriority w:val="0"/>
    <w:rPr>
      <w:rFonts w:ascii="宋体" w:hAnsi="宋体" w:eastAsia="宋体" w:cs="Times New Roman"/>
      <w:b/>
      <w:kern w:val="0"/>
      <w:sz w:val="36"/>
      <w:szCs w:val="36"/>
    </w:rPr>
  </w:style>
  <w:style w:type="character" w:customStyle="1" w:styleId="49">
    <w:name w:val="标题 3 Char"/>
    <w:basedOn w:val="33"/>
    <w:link w:val="4"/>
    <w:qFormat/>
    <w:uiPriority w:val="0"/>
    <w:rPr>
      <w:rFonts w:ascii="Times New Roman" w:hAnsi="Times New Roman" w:eastAsia="仿宋" w:cs="Times New Roman"/>
      <w:b/>
      <w:bCs/>
      <w:sz w:val="22"/>
      <w:szCs w:val="32"/>
    </w:rPr>
  </w:style>
  <w:style w:type="character" w:customStyle="1" w:styleId="50">
    <w:name w:val="标题 5 Char"/>
    <w:basedOn w:val="33"/>
    <w:link w:val="5"/>
    <w:qFormat/>
    <w:uiPriority w:val="0"/>
    <w:rPr>
      <w:rFonts w:ascii="Times New Roman" w:hAnsi="Times New Roman" w:eastAsia="仿宋" w:cs="Times New Roman"/>
      <w:b/>
      <w:sz w:val="28"/>
      <w:szCs w:val="20"/>
    </w:rPr>
  </w:style>
  <w:style w:type="character" w:customStyle="1" w:styleId="51">
    <w:name w:val="标题 6 Char"/>
    <w:basedOn w:val="33"/>
    <w:link w:val="6"/>
    <w:qFormat/>
    <w:uiPriority w:val="9"/>
    <w:rPr>
      <w:rFonts w:ascii="等线 Light" w:hAnsi="等线 Light" w:eastAsia="等线 Light" w:cs="Times New Roman"/>
      <w:b/>
      <w:bCs/>
      <w:sz w:val="22"/>
      <w:szCs w:val="24"/>
    </w:rPr>
  </w:style>
  <w:style w:type="paragraph" w:customStyle="1" w:styleId="52">
    <w:name w:val="TOC 71"/>
    <w:basedOn w:val="1"/>
    <w:next w:val="1"/>
    <w:unhideWhenUsed/>
    <w:qFormat/>
    <w:uiPriority w:val="39"/>
    <w:pPr>
      <w:ind w:left="2520" w:leftChars="1200"/>
    </w:pPr>
    <w:rPr>
      <w:sz w:val="22"/>
    </w:rPr>
  </w:style>
  <w:style w:type="character" w:customStyle="1" w:styleId="53">
    <w:name w:val="文档结构图 Char"/>
    <w:basedOn w:val="33"/>
    <w:link w:val="9"/>
    <w:qFormat/>
    <w:uiPriority w:val="0"/>
    <w:rPr>
      <w:rFonts w:ascii="宋体" w:hAnsi="Times New Roman" w:eastAsia="宋体" w:cs="Times New Roman"/>
      <w:sz w:val="18"/>
      <w:szCs w:val="18"/>
    </w:rPr>
  </w:style>
  <w:style w:type="character" w:customStyle="1" w:styleId="54">
    <w:name w:val="正文文本 Char"/>
    <w:basedOn w:val="33"/>
    <w:link w:val="11"/>
    <w:qFormat/>
    <w:uiPriority w:val="0"/>
    <w:rPr>
      <w:rFonts w:ascii="Times New Roman" w:hAnsi="Times New Roman" w:eastAsia="仿宋" w:cs="Times New Roman"/>
      <w:sz w:val="22"/>
      <w:szCs w:val="24"/>
    </w:rPr>
  </w:style>
  <w:style w:type="character" w:customStyle="1" w:styleId="55">
    <w:name w:val="正文文本缩进 Char"/>
    <w:basedOn w:val="33"/>
    <w:link w:val="12"/>
    <w:uiPriority w:val="99"/>
    <w:rPr>
      <w:rFonts w:ascii="Times New Roman" w:hAnsi="Times New Roman" w:eastAsia="仿宋" w:cs="Times New Roman"/>
      <w:sz w:val="22"/>
      <w:szCs w:val="24"/>
    </w:rPr>
  </w:style>
  <w:style w:type="paragraph" w:customStyle="1" w:styleId="56">
    <w:name w:val="TOC 51"/>
    <w:basedOn w:val="1"/>
    <w:next w:val="1"/>
    <w:unhideWhenUsed/>
    <w:qFormat/>
    <w:uiPriority w:val="39"/>
    <w:pPr>
      <w:ind w:left="1680" w:leftChars="800"/>
    </w:pPr>
    <w:rPr>
      <w:sz w:val="22"/>
    </w:rPr>
  </w:style>
  <w:style w:type="character" w:customStyle="1" w:styleId="57">
    <w:name w:val="纯文本 Char"/>
    <w:basedOn w:val="33"/>
    <w:link w:val="15"/>
    <w:qFormat/>
    <w:uiPriority w:val="0"/>
    <w:rPr>
      <w:rFonts w:ascii="宋体" w:hAnsi="Courier New" w:eastAsia="仿宋" w:cs="Century"/>
      <w:sz w:val="22"/>
      <w:szCs w:val="21"/>
    </w:rPr>
  </w:style>
  <w:style w:type="paragraph" w:customStyle="1" w:styleId="58">
    <w:name w:val="TOC 81"/>
    <w:basedOn w:val="1"/>
    <w:next w:val="1"/>
    <w:unhideWhenUsed/>
    <w:qFormat/>
    <w:uiPriority w:val="39"/>
    <w:pPr>
      <w:ind w:left="2940" w:leftChars="1400"/>
    </w:pPr>
    <w:rPr>
      <w:sz w:val="22"/>
    </w:rPr>
  </w:style>
  <w:style w:type="character" w:customStyle="1" w:styleId="59">
    <w:name w:val="正文文本缩进 2 Char"/>
    <w:basedOn w:val="33"/>
    <w:link w:val="16"/>
    <w:qFormat/>
    <w:uiPriority w:val="0"/>
    <w:rPr>
      <w:rFonts w:ascii="宋体" w:hAnsi="宋体" w:eastAsia="仿宋_GB2312" w:cs="宋体"/>
      <w:sz w:val="28"/>
      <w:szCs w:val="28"/>
    </w:rPr>
  </w:style>
  <w:style w:type="character" w:customStyle="1" w:styleId="60">
    <w:name w:val="尾注文本 Char"/>
    <w:basedOn w:val="33"/>
    <w:link w:val="17"/>
    <w:qFormat/>
    <w:uiPriority w:val="0"/>
    <w:rPr>
      <w:rFonts w:ascii="Times New Roman" w:hAnsi="Times New Roman" w:eastAsia="仿宋" w:cs="Times New Roman"/>
      <w:sz w:val="22"/>
      <w:szCs w:val="24"/>
    </w:rPr>
  </w:style>
  <w:style w:type="character" w:customStyle="1" w:styleId="61">
    <w:name w:val="批注框文本 Char"/>
    <w:basedOn w:val="33"/>
    <w:link w:val="18"/>
    <w:qFormat/>
    <w:uiPriority w:val="0"/>
    <w:rPr>
      <w:rFonts w:ascii="Times New Roman" w:hAnsi="Times New Roman" w:eastAsia="仿宋" w:cs="Times New Roman"/>
      <w:sz w:val="18"/>
      <w:szCs w:val="18"/>
    </w:rPr>
  </w:style>
  <w:style w:type="paragraph" w:customStyle="1" w:styleId="62">
    <w:name w:val="TOC 41"/>
    <w:basedOn w:val="1"/>
    <w:next w:val="1"/>
    <w:unhideWhenUsed/>
    <w:qFormat/>
    <w:uiPriority w:val="39"/>
    <w:pPr>
      <w:ind w:left="1260" w:leftChars="600"/>
    </w:pPr>
    <w:rPr>
      <w:sz w:val="22"/>
    </w:rPr>
  </w:style>
  <w:style w:type="paragraph" w:customStyle="1" w:styleId="63">
    <w:name w:val="TOC 61"/>
    <w:basedOn w:val="1"/>
    <w:next w:val="1"/>
    <w:unhideWhenUsed/>
    <w:qFormat/>
    <w:uiPriority w:val="39"/>
    <w:pPr>
      <w:ind w:left="2100" w:leftChars="1000"/>
    </w:pPr>
    <w:rPr>
      <w:sz w:val="22"/>
    </w:rPr>
  </w:style>
  <w:style w:type="paragraph" w:customStyle="1" w:styleId="64">
    <w:name w:val="TOC 91"/>
    <w:basedOn w:val="1"/>
    <w:next w:val="1"/>
    <w:unhideWhenUsed/>
    <w:qFormat/>
    <w:uiPriority w:val="39"/>
    <w:pPr>
      <w:ind w:left="3360" w:leftChars="1600"/>
    </w:pPr>
    <w:rPr>
      <w:sz w:val="22"/>
    </w:rPr>
  </w:style>
  <w:style w:type="character" w:customStyle="1" w:styleId="65">
    <w:name w:val="HTML 预设格式 Char"/>
    <w:basedOn w:val="33"/>
    <w:link w:val="25"/>
    <w:qFormat/>
    <w:uiPriority w:val="0"/>
    <w:rPr>
      <w:rFonts w:ascii="宋体" w:hAnsi="宋体" w:eastAsia="宋体" w:cs="Times New Roman"/>
      <w:kern w:val="0"/>
      <w:sz w:val="22"/>
      <w:szCs w:val="24"/>
    </w:rPr>
  </w:style>
  <w:style w:type="character" w:customStyle="1" w:styleId="66">
    <w:name w:val="正文首行缩进 Char"/>
    <w:basedOn w:val="54"/>
    <w:link w:val="29"/>
    <w:qFormat/>
    <w:uiPriority w:val="0"/>
    <w:rPr>
      <w:rFonts w:ascii="Times New Roman" w:hAnsi="Times New Roman" w:eastAsia="宋体" w:cs="Times New Roman"/>
      <w:sz w:val="22"/>
      <w:szCs w:val="24"/>
    </w:rPr>
  </w:style>
  <w:style w:type="character" w:customStyle="1" w:styleId="67">
    <w:name w:val="正文首行缩进 2 Char"/>
    <w:basedOn w:val="55"/>
    <w:link w:val="30"/>
    <w:qFormat/>
    <w:uiPriority w:val="0"/>
    <w:rPr>
      <w:rFonts w:ascii="Times New Roman" w:hAnsi="Times New Roman" w:eastAsia="仿宋" w:cs="Times New Roman"/>
      <w:kern w:val="0"/>
      <w:sz w:val="20"/>
      <w:szCs w:val="24"/>
    </w:rPr>
  </w:style>
  <w:style w:type="character" w:customStyle="1" w:styleId="68">
    <w:name w:val="目录 1 Char"/>
    <w:link w:val="21"/>
    <w:qFormat/>
    <w:uiPriority w:val="39"/>
    <w:rPr>
      <w:rFonts w:ascii="Times New Roman" w:hAnsi="Times New Roman" w:eastAsia="宋体" w:cs="Times New Roman"/>
      <w:sz w:val="22"/>
      <w:szCs w:val="24"/>
    </w:rPr>
  </w:style>
  <w:style w:type="character" w:customStyle="1" w:styleId="69">
    <w:name w:val="目录 2 Char"/>
    <w:link w:val="24"/>
    <w:qFormat/>
    <w:uiPriority w:val="39"/>
    <w:rPr>
      <w:rFonts w:ascii="Times New Roman" w:hAnsi="Times New Roman" w:eastAsia="楷体" w:cs="Times New Roman"/>
      <w:sz w:val="22"/>
      <w:szCs w:val="24"/>
    </w:rPr>
  </w:style>
  <w:style w:type="paragraph" w:customStyle="1" w:styleId="70">
    <w:name w:val="图表标题"/>
    <w:basedOn w:val="1"/>
    <w:next w:val="1"/>
    <w:link w:val="101"/>
    <w:qFormat/>
    <w:uiPriority w:val="0"/>
    <w:pPr>
      <w:keepNext/>
      <w:adjustRightInd w:val="0"/>
      <w:snapToGrid w:val="0"/>
      <w:spacing w:beforeLines="50" w:afterLines="20"/>
      <w:jc w:val="center"/>
    </w:pPr>
    <w:rPr>
      <w:rFonts w:ascii="Times New Roman" w:hAnsi="Times New Roman" w:eastAsia="黑体" w:cs="Times New Roman"/>
      <w:sz w:val="18"/>
      <w:szCs w:val="24"/>
    </w:rPr>
  </w:style>
  <w:style w:type="character" w:customStyle="1" w:styleId="71">
    <w:name w:val="font21"/>
    <w:basedOn w:val="33"/>
    <w:qFormat/>
    <w:uiPriority w:val="0"/>
    <w:rPr>
      <w:rFonts w:hint="eastAsia" w:ascii="仿宋_GB2312" w:eastAsia="仿宋_GB2312" w:cs="仿宋_GB2312"/>
      <w:color w:val="000000"/>
      <w:sz w:val="24"/>
      <w:szCs w:val="24"/>
      <w:u w:val="none"/>
    </w:rPr>
  </w:style>
  <w:style w:type="character" w:customStyle="1" w:styleId="72">
    <w:name w:val="article-icon"/>
    <w:basedOn w:val="33"/>
    <w:qFormat/>
    <w:uiPriority w:val="0"/>
  </w:style>
  <w:style w:type="character" w:customStyle="1" w:styleId="73">
    <w:name w:val="font41"/>
    <w:qFormat/>
    <w:uiPriority w:val="0"/>
    <w:rPr>
      <w:rFonts w:hint="default" w:ascii="Times New Roman" w:hAnsi="Times New Roman" w:cs="Times New Roman"/>
      <w:color w:val="000000"/>
      <w:sz w:val="24"/>
      <w:szCs w:val="24"/>
      <w:u w:val="none"/>
    </w:rPr>
  </w:style>
  <w:style w:type="character" w:customStyle="1" w:styleId="74">
    <w:name w:val="font11"/>
    <w:qFormat/>
    <w:uiPriority w:val="0"/>
    <w:rPr>
      <w:rFonts w:ascii="仿宋" w:hAnsi="仿宋" w:eastAsia="仿宋" w:cs="仿宋"/>
      <w:b/>
      <w:color w:val="000000"/>
      <w:sz w:val="21"/>
      <w:szCs w:val="21"/>
      <w:u w:val="none"/>
    </w:rPr>
  </w:style>
  <w:style w:type="character" w:customStyle="1" w:styleId="75">
    <w:name w:val="font31"/>
    <w:qFormat/>
    <w:uiPriority w:val="0"/>
    <w:rPr>
      <w:rFonts w:hint="default" w:ascii="Times New Roman" w:hAnsi="Times New Roman" w:cs="Times New Roman"/>
      <w:b/>
      <w:color w:val="000000"/>
      <w:sz w:val="21"/>
      <w:szCs w:val="21"/>
      <w:u w:val="none"/>
    </w:rPr>
  </w:style>
  <w:style w:type="character" w:customStyle="1" w:styleId="76">
    <w:name w:val="hover"/>
    <w:basedOn w:val="33"/>
    <w:qFormat/>
    <w:uiPriority w:val="0"/>
    <w:rPr>
      <w:shd w:val="clear" w:color="auto" w:fill="929292"/>
    </w:rPr>
  </w:style>
  <w:style w:type="character" w:customStyle="1" w:styleId="77">
    <w:name w:val="hover9"/>
    <w:basedOn w:val="33"/>
    <w:qFormat/>
    <w:uiPriority w:val="0"/>
    <w:rPr>
      <w:shd w:val="clear" w:color="auto" w:fill="929292"/>
    </w:rPr>
  </w:style>
  <w:style w:type="character" w:customStyle="1" w:styleId="78">
    <w:name w:val="font01"/>
    <w:qFormat/>
    <w:uiPriority w:val="0"/>
    <w:rPr>
      <w:rFonts w:hint="eastAsia" w:ascii="宋体" w:hAnsi="宋体" w:eastAsia="宋体" w:cs="宋体"/>
      <w:color w:val="000000"/>
      <w:sz w:val="22"/>
      <w:szCs w:val="22"/>
      <w:u w:val="none"/>
    </w:rPr>
  </w:style>
  <w:style w:type="paragraph" w:customStyle="1" w:styleId="79">
    <w:name w:val="列出段落1"/>
    <w:basedOn w:val="1"/>
    <w:qFormat/>
    <w:uiPriority w:val="99"/>
    <w:pPr>
      <w:snapToGrid w:val="0"/>
      <w:spacing w:line="360" w:lineRule="exact"/>
      <w:ind w:firstLine="420" w:firstLineChars="200"/>
    </w:pPr>
    <w:rPr>
      <w:rFonts w:ascii="Times New Roman" w:hAnsi="Times New Roman" w:eastAsia="仿宋" w:cs="Times New Roman"/>
      <w:sz w:val="22"/>
      <w:szCs w:val="24"/>
    </w:rPr>
  </w:style>
  <w:style w:type="paragraph" w:customStyle="1" w:styleId="80">
    <w:name w:val="列出段落2"/>
    <w:basedOn w:val="1"/>
    <w:qFormat/>
    <w:uiPriority w:val="34"/>
    <w:pPr>
      <w:snapToGrid w:val="0"/>
      <w:spacing w:line="360" w:lineRule="exact"/>
      <w:ind w:firstLine="420" w:firstLineChars="200"/>
    </w:pPr>
    <w:rPr>
      <w:rFonts w:ascii="Times New Roman" w:hAnsi="Times New Roman" w:eastAsia="仿宋" w:cs="Times New Roman"/>
      <w:sz w:val="22"/>
      <w:szCs w:val="24"/>
    </w:rPr>
  </w:style>
  <w:style w:type="character" w:customStyle="1" w:styleId="81">
    <w:name w:val="font51"/>
    <w:basedOn w:val="33"/>
    <w:qFormat/>
    <w:uiPriority w:val="0"/>
    <w:rPr>
      <w:rFonts w:hint="eastAsia" w:ascii="宋体" w:hAnsi="宋体" w:eastAsia="宋体" w:cs="宋体"/>
      <w:color w:val="000000"/>
      <w:sz w:val="24"/>
      <w:szCs w:val="24"/>
      <w:u w:val="none"/>
    </w:rPr>
  </w:style>
  <w:style w:type="paragraph" w:customStyle="1" w:styleId="82">
    <w:name w:val="WPSOffice手动目录 1"/>
    <w:qFormat/>
    <w:uiPriority w:val="0"/>
    <w:rPr>
      <w:rFonts w:ascii="Times New Roman" w:hAnsi="Times New Roman" w:eastAsia="宋体" w:cs="Times New Roman"/>
      <w:kern w:val="0"/>
      <w:sz w:val="20"/>
      <w:szCs w:val="20"/>
      <w:lang w:val="en-US" w:eastAsia="zh-CN" w:bidi="ar-SA"/>
    </w:rPr>
  </w:style>
  <w:style w:type="paragraph" w:customStyle="1" w:styleId="83">
    <w:name w:val="WPSOffice手动目录 2"/>
    <w:qFormat/>
    <w:uiPriority w:val="0"/>
    <w:pPr>
      <w:ind w:left="200" w:leftChars="200"/>
    </w:pPr>
    <w:rPr>
      <w:rFonts w:ascii="Times New Roman" w:hAnsi="Times New Roman" w:eastAsia="宋体" w:cs="Times New Roman"/>
      <w:kern w:val="0"/>
      <w:sz w:val="20"/>
      <w:szCs w:val="20"/>
      <w:lang w:val="en-US" w:eastAsia="zh-CN" w:bidi="ar-SA"/>
    </w:rPr>
  </w:style>
  <w:style w:type="paragraph" w:customStyle="1" w:styleId="84">
    <w:name w:val="WPSOffice手动目录 3"/>
    <w:qFormat/>
    <w:uiPriority w:val="0"/>
    <w:pPr>
      <w:ind w:left="400" w:leftChars="400"/>
    </w:pPr>
    <w:rPr>
      <w:rFonts w:ascii="Times New Roman" w:hAnsi="Times New Roman" w:eastAsia="宋体" w:cs="Times New Roman"/>
      <w:kern w:val="0"/>
      <w:sz w:val="20"/>
      <w:szCs w:val="20"/>
      <w:lang w:val="en-US" w:eastAsia="zh-CN" w:bidi="ar-SA"/>
    </w:rPr>
  </w:style>
  <w:style w:type="paragraph" w:styleId="85">
    <w:name w:val="List Paragraph"/>
    <w:basedOn w:val="1"/>
    <w:link w:val="89"/>
    <w:qFormat/>
    <w:uiPriority w:val="99"/>
    <w:pPr>
      <w:snapToGrid w:val="0"/>
      <w:spacing w:line="360" w:lineRule="exact"/>
      <w:ind w:firstLine="420" w:firstLineChars="200"/>
    </w:pPr>
    <w:rPr>
      <w:rFonts w:ascii="Times New Roman" w:hAnsi="Times New Roman" w:eastAsia="仿宋" w:cs="Times New Roman"/>
      <w:sz w:val="22"/>
      <w:szCs w:val="24"/>
    </w:rPr>
  </w:style>
  <w:style w:type="table" w:customStyle="1" w:styleId="86">
    <w:name w:val="Table Normal"/>
    <w:unhideWhenUsed/>
    <w:qFormat/>
    <w:uiPriority w:val="0"/>
    <w:rPr>
      <w:rFonts w:ascii="Calibri" w:hAnsi="Calibri" w:eastAsia="宋体" w:cs="Times New Roman"/>
      <w:kern w:val="0"/>
      <w:sz w:val="20"/>
      <w:szCs w:val="20"/>
    </w:rPr>
    <w:tblPr>
      <w:tblCellMar>
        <w:top w:w="0" w:type="dxa"/>
        <w:left w:w="0" w:type="dxa"/>
        <w:bottom w:w="0" w:type="dxa"/>
        <w:right w:w="0" w:type="dxa"/>
      </w:tblCellMar>
    </w:tblPr>
  </w:style>
  <w:style w:type="paragraph" w:customStyle="1" w:styleId="87">
    <w:name w:val="B项目2级标题样式"/>
    <w:basedOn w:val="85"/>
    <w:link w:val="90"/>
    <w:qFormat/>
    <w:uiPriority w:val="0"/>
    <w:pPr>
      <w:keepNext/>
      <w:numPr>
        <w:ilvl w:val="0"/>
        <w:numId w:val="1"/>
      </w:numPr>
      <w:spacing w:beforeLines="50" w:afterLines="50"/>
      <w:ind w:firstLine="0" w:firstLineChars="0"/>
      <w:jc w:val="center"/>
      <w:outlineLvl w:val="2"/>
    </w:pPr>
    <w:rPr>
      <w:rFonts w:ascii="方正小标宋简体" w:hAnsi="黑体" w:eastAsia="方正小标宋简体"/>
      <w:b/>
      <w:sz w:val="32"/>
    </w:rPr>
  </w:style>
  <w:style w:type="paragraph" w:customStyle="1" w:styleId="88">
    <w:name w:val="C项目3级标题样式"/>
    <w:basedOn w:val="1"/>
    <w:link w:val="91"/>
    <w:qFormat/>
    <w:uiPriority w:val="0"/>
    <w:pPr>
      <w:snapToGrid w:val="0"/>
      <w:spacing w:line="360" w:lineRule="exact"/>
      <w:ind w:firstLine="562" w:firstLineChars="200"/>
      <w:outlineLvl w:val="3"/>
    </w:pPr>
    <w:rPr>
      <w:rFonts w:ascii="Times New Roman" w:hAnsi="Times New Roman" w:eastAsia="仿宋" w:cs="Times New Roman"/>
      <w:b/>
      <w:sz w:val="22"/>
      <w:szCs w:val="24"/>
    </w:rPr>
  </w:style>
  <w:style w:type="character" w:customStyle="1" w:styleId="89">
    <w:name w:val="列出段落 Char"/>
    <w:basedOn w:val="33"/>
    <w:link w:val="85"/>
    <w:qFormat/>
    <w:uiPriority w:val="99"/>
    <w:rPr>
      <w:rFonts w:ascii="Times New Roman" w:hAnsi="Times New Roman" w:eastAsia="仿宋" w:cs="Times New Roman"/>
      <w:sz w:val="22"/>
      <w:szCs w:val="24"/>
    </w:rPr>
  </w:style>
  <w:style w:type="character" w:customStyle="1" w:styleId="90">
    <w:name w:val="B项目2级标题样式 Char"/>
    <w:basedOn w:val="89"/>
    <w:link w:val="87"/>
    <w:qFormat/>
    <w:uiPriority w:val="0"/>
    <w:rPr>
      <w:rFonts w:ascii="方正小标宋简体" w:hAnsi="黑体" w:eastAsia="方正小标宋简体" w:cs="Times New Roman"/>
      <w:b/>
      <w:sz w:val="32"/>
      <w:szCs w:val="24"/>
    </w:rPr>
  </w:style>
  <w:style w:type="character" w:customStyle="1" w:styleId="91">
    <w:name w:val="C项目3级标题样式 Char"/>
    <w:basedOn w:val="33"/>
    <w:link w:val="88"/>
    <w:qFormat/>
    <w:uiPriority w:val="0"/>
    <w:rPr>
      <w:rFonts w:ascii="Times New Roman" w:hAnsi="Times New Roman" w:eastAsia="仿宋" w:cs="Times New Roman"/>
      <w:b/>
      <w:sz w:val="22"/>
      <w:szCs w:val="24"/>
    </w:rPr>
  </w:style>
  <w:style w:type="paragraph" w:customStyle="1" w:styleId="92">
    <w:name w:val="表格内文字"/>
    <w:basedOn w:val="13"/>
    <w:link w:val="95"/>
    <w:qFormat/>
    <w:uiPriority w:val="0"/>
    <w:pPr>
      <w:jc w:val="center"/>
    </w:pPr>
    <w:rPr>
      <w:rFonts w:ascii="楷体" w:hAnsi="楷体" w:eastAsia="楷体"/>
      <w:szCs w:val="24"/>
    </w:rPr>
  </w:style>
  <w:style w:type="paragraph" w:customStyle="1" w:styleId="93">
    <w:name w:val="（一）产业链二级标题样式"/>
    <w:basedOn w:val="1"/>
    <w:link w:val="97"/>
    <w:qFormat/>
    <w:uiPriority w:val="0"/>
    <w:pPr>
      <w:keepNext/>
      <w:snapToGrid w:val="0"/>
      <w:spacing w:line="360" w:lineRule="exact"/>
      <w:ind w:firstLine="200" w:firstLineChars="200"/>
      <w:outlineLvl w:val="2"/>
    </w:pPr>
    <w:rPr>
      <w:rFonts w:ascii="黑体" w:hAnsi="黑体" w:eastAsia="黑体" w:cs="Times New Roman"/>
      <w:b/>
      <w:sz w:val="22"/>
      <w:szCs w:val="24"/>
    </w:rPr>
  </w:style>
  <w:style w:type="character" w:customStyle="1" w:styleId="94">
    <w:name w:val="文本块 Char"/>
    <w:basedOn w:val="33"/>
    <w:link w:val="13"/>
    <w:qFormat/>
    <w:uiPriority w:val="99"/>
    <w:rPr>
      <w:rFonts w:ascii="Calibri" w:hAnsi="Calibri" w:eastAsia="宋体" w:cs="Times New Roman"/>
      <w:sz w:val="22"/>
      <w:szCs w:val="21"/>
    </w:rPr>
  </w:style>
  <w:style w:type="character" w:customStyle="1" w:styleId="95">
    <w:name w:val="表格内文字 Char"/>
    <w:basedOn w:val="94"/>
    <w:link w:val="92"/>
    <w:qFormat/>
    <w:uiPriority w:val="0"/>
    <w:rPr>
      <w:rFonts w:ascii="楷体" w:hAnsi="楷体" w:eastAsia="楷体" w:cs="Times New Roman"/>
      <w:sz w:val="22"/>
      <w:szCs w:val="24"/>
    </w:rPr>
  </w:style>
  <w:style w:type="paragraph" w:customStyle="1" w:styleId="96">
    <w:name w:val="A项目一级标题样式"/>
    <w:basedOn w:val="85"/>
    <w:link w:val="98"/>
    <w:qFormat/>
    <w:uiPriority w:val="0"/>
    <w:pPr>
      <w:keepNext/>
      <w:pageBreakBefore/>
      <w:numPr>
        <w:ilvl w:val="0"/>
        <w:numId w:val="2"/>
      </w:numPr>
      <w:spacing w:beforeLines="50" w:afterLines="50" w:line="360" w:lineRule="auto"/>
      <w:ind w:left="0" w:firstLine="0" w:firstLineChars="0"/>
      <w:jc w:val="center"/>
      <w:outlineLvl w:val="1"/>
    </w:pPr>
    <w:rPr>
      <w:rFonts w:ascii="黑体" w:hAnsi="黑体" w:eastAsia="黑体"/>
      <w:b/>
      <w:sz w:val="36"/>
      <w:szCs w:val="36"/>
    </w:rPr>
  </w:style>
  <w:style w:type="character" w:customStyle="1" w:styleId="97">
    <w:name w:val="（一）产业链二级标题样式 Char"/>
    <w:basedOn w:val="33"/>
    <w:link w:val="93"/>
    <w:qFormat/>
    <w:uiPriority w:val="0"/>
    <w:rPr>
      <w:rFonts w:ascii="黑体" w:hAnsi="黑体" w:eastAsia="黑体" w:cs="Times New Roman"/>
      <w:b/>
      <w:sz w:val="22"/>
      <w:szCs w:val="24"/>
    </w:rPr>
  </w:style>
  <w:style w:type="character" w:customStyle="1" w:styleId="98">
    <w:name w:val="A项目一级标题样式 Char"/>
    <w:basedOn w:val="89"/>
    <w:link w:val="96"/>
    <w:qFormat/>
    <w:uiPriority w:val="0"/>
    <w:rPr>
      <w:rFonts w:ascii="黑体" w:hAnsi="黑体" w:eastAsia="黑体" w:cs="Times New Roman"/>
      <w:b/>
      <w:sz w:val="36"/>
      <w:szCs w:val="36"/>
    </w:rPr>
  </w:style>
  <w:style w:type="table" w:customStyle="1" w:styleId="99">
    <w:name w:val="网格表 5 深色 - 着色 51"/>
    <w:basedOn w:val="31"/>
    <w:qFormat/>
    <w:uiPriority w:val="50"/>
    <w:rPr>
      <w:rFonts w:ascii="Times New Roman" w:hAnsi="Times New Roman" w:eastAsia="宋体" w:cs="Times New Roman"/>
      <w:kern w:val="0"/>
      <w:sz w:val="20"/>
      <w:szCs w:val="20"/>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DAEEF3"/>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4BACC6"/>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4BACC6"/>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4BACC6"/>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4BACC6"/>
      </w:tcPr>
    </w:tblStylePr>
    <w:tblStylePr w:type="band1Vert">
      <w:tcPr>
        <w:shd w:val="clear" w:color="auto" w:fill="B6DDE8"/>
      </w:tcPr>
    </w:tblStylePr>
    <w:tblStylePr w:type="band1Horz">
      <w:tcPr>
        <w:shd w:val="clear" w:color="auto" w:fill="B6DDE8"/>
      </w:tcPr>
    </w:tblStylePr>
  </w:style>
  <w:style w:type="table" w:customStyle="1" w:styleId="100">
    <w:name w:val="网格表 5 深色 - 着色 31"/>
    <w:basedOn w:val="31"/>
    <w:qFormat/>
    <w:uiPriority w:val="50"/>
    <w:rPr>
      <w:rFonts w:ascii="Times New Roman" w:hAnsi="Times New Roman" w:eastAsia="宋体" w:cs="Times New Roman"/>
      <w:kern w:val="0"/>
      <w:sz w:val="20"/>
      <w:szCs w:val="20"/>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EAF1DD"/>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9BBB59"/>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9BBB59"/>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9BBB59"/>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9BBB59"/>
      </w:tcPr>
    </w:tblStylePr>
    <w:tblStylePr w:type="band1Vert">
      <w:tcPr>
        <w:shd w:val="clear" w:color="auto" w:fill="D6E3BC"/>
      </w:tcPr>
    </w:tblStylePr>
    <w:tblStylePr w:type="band1Horz">
      <w:tcPr>
        <w:shd w:val="clear" w:color="auto" w:fill="D6E3BC"/>
      </w:tcPr>
    </w:tblStylePr>
  </w:style>
  <w:style w:type="character" w:customStyle="1" w:styleId="101">
    <w:name w:val="图表标题 Char"/>
    <w:link w:val="70"/>
    <w:qFormat/>
    <w:uiPriority w:val="0"/>
    <w:rPr>
      <w:rFonts w:ascii="Times New Roman" w:hAnsi="Times New Roman" w:eastAsia="黑体" w:cs="Times New Roman"/>
      <w:sz w:val="18"/>
      <w:szCs w:val="24"/>
    </w:rPr>
  </w:style>
  <w:style w:type="table" w:customStyle="1" w:styleId="102">
    <w:name w:val="清单表 3 - 着色 31"/>
    <w:basedOn w:val="31"/>
    <w:qFormat/>
    <w:uiPriority w:val="48"/>
    <w:rPr>
      <w:rFonts w:ascii="Times New Roman" w:hAnsi="Times New Roman" w:eastAsia="宋体" w:cs="Times New Roman"/>
      <w:kern w:val="0"/>
      <w:sz w:val="20"/>
      <w:szCs w:val="20"/>
    </w:rPr>
    <w:tblPr>
      <w:tblBorders>
        <w:top w:val="single" w:color="9BBB59" w:sz="4" w:space="0"/>
        <w:left w:val="single" w:color="9BBB59" w:sz="4" w:space="0"/>
        <w:bottom w:val="single" w:color="9BBB59" w:sz="4" w:space="0"/>
        <w:right w:val="single" w:color="9BBB59" w:sz="4" w:space="0"/>
      </w:tblBorders>
      <w:tblCellMar>
        <w:top w:w="0" w:type="dxa"/>
        <w:left w:w="108" w:type="dxa"/>
        <w:bottom w:w="0" w:type="dxa"/>
        <w:right w:w="108" w:type="dxa"/>
      </w:tblCellMar>
    </w:tblPr>
    <w:tblStylePr w:type="firstRow">
      <w:rPr>
        <w:b/>
        <w:bCs/>
        <w:color w:val="FFFFFF"/>
      </w:rPr>
      <w:tcPr>
        <w:shd w:val="clear" w:color="auto" w:fill="9BBB59"/>
      </w:tcPr>
    </w:tblStylePr>
    <w:tblStylePr w:type="lastRow">
      <w:rPr>
        <w:b/>
        <w:bCs/>
      </w:rPr>
      <w:tcPr>
        <w:tcBorders>
          <w:top w:val="double" w:color="9BBB59" w:sz="4" w:space="0"/>
        </w:tcBorders>
        <w:shd w:val="clear" w:color="auto" w:fill="FFFFFF"/>
      </w:tcPr>
    </w:tblStylePr>
    <w:tblStylePr w:type="firstCol">
      <w:rPr>
        <w:b/>
        <w:bCs/>
      </w:rPr>
      <w:tcPr>
        <w:tcBorders>
          <w:right w:val="nil"/>
        </w:tcBorders>
        <w:shd w:val="clear" w:color="auto" w:fill="FFFFFF"/>
      </w:tcPr>
    </w:tblStylePr>
    <w:tblStylePr w:type="lastCol">
      <w:rPr>
        <w:b/>
        <w:bCs/>
      </w:rPr>
      <w:tcPr>
        <w:tcBorders>
          <w:left w:val="nil"/>
        </w:tcBorders>
        <w:shd w:val="clear" w:color="auto" w:fill="FFFFFF"/>
      </w:tcPr>
    </w:tblStylePr>
    <w:tblStylePr w:type="band1Vert">
      <w:tcPr>
        <w:tcBorders>
          <w:left w:val="single" w:color="9BBB59" w:sz="4" w:space="0"/>
          <w:right w:val="single" w:color="9BBB59" w:sz="4" w:space="0"/>
        </w:tcBorders>
      </w:tcPr>
    </w:tblStylePr>
    <w:tblStylePr w:type="band1Horz">
      <w:tcPr>
        <w:tcBorders>
          <w:top w:val="single" w:color="9BBB59" w:sz="4" w:space="0"/>
          <w:bottom w:val="single" w:color="9BBB59"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9BBB59" w:sz="4" w:space="0"/>
          <w:left w:val="nil"/>
        </w:tcBorders>
      </w:tcPr>
    </w:tblStylePr>
    <w:tblStylePr w:type="swCell">
      <w:tcPr>
        <w:tcBorders>
          <w:top w:val="double" w:color="9BBB59" w:sz="4" w:space="0"/>
          <w:right w:val="nil"/>
        </w:tcBorders>
      </w:tcPr>
    </w:tblStylePr>
  </w:style>
  <w:style w:type="table" w:customStyle="1" w:styleId="103">
    <w:name w:val="清单表 3 - 着色 21"/>
    <w:basedOn w:val="31"/>
    <w:qFormat/>
    <w:uiPriority w:val="48"/>
    <w:rPr>
      <w:rFonts w:ascii="Times New Roman" w:hAnsi="Times New Roman" w:eastAsia="宋体" w:cs="Times New Roman"/>
      <w:kern w:val="0"/>
      <w:sz w:val="20"/>
      <w:szCs w:val="20"/>
    </w:rPr>
    <w:tblPr>
      <w:tblBorders>
        <w:top w:val="single" w:color="C0504D" w:sz="4" w:space="0"/>
        <w:left w:val="single" w:color="C0504D" w:sz="4" w:space="0"/>
        <w:bottom w:val="single" w:color="C0504D" w:sz="4" w:space="0"/>
        <w:right w:val="single" w:color="C0504D" w:sz="4" w:space="0"/>
      </w:tblBorders>
      <w:tblCellMar>
        <w:top w:w="0" w:type="dxa"/>
        <w:left w:w="108" w:type="dxa"/>
        <w:bottom w:w="0" w:type="dxa"/>
        <w:right w:w="108" w:type="dxa"/>
      </w:tblCellMar>
    </w:tblPr>
    <w:tblStylePr w:type="firstRow">
      <w:rPr>
        <w:b/>
        <w:bCs/>
        <w:color w:val="FFFFFF"/>
      </w:rPr>
      <w:tcPr>
        <w:shd w:val="clear" w:color="auto" w:fill="C0504D"/>
      </w:tcPr>
    </w:tblStylePr>
    <w:tblStylePr w:type="lastRow">
      <w:rPr>
        <w:b/>
        <w:bCs/>
      </w:rPr>
      <w:tcPr>
        <w:tcBorders>
          <w:top w:val="double" w:color="C0504D" w:sz="4" w:space="0"/>
        </w:tcBorders>
        <w:shd w:val="clear" w:color="auto" w:fill="FFFFFF"/>
      </w:tcPr>
    </w:tblStylePr>
    <w:tblStylePr w:type="firstCol">
      <w:rPr>
        <w:b/>
        <w:bCs/>
      </w:rPr>
      <w:tcPr>
        <w:tcBorders>
          <w:right w:val="nil"/>
        </w:tcBorders>
        <w:shd w:val="clear" w:color="auto" w:fill="FFFFFF"/>
      </w:tcPr>
    </w:tblStylePr>
    <w:tblStylePr w:type="lastCol">
      <w:rPr>
        <w:b/>
        <w:bCs/>
      </w:rPr>
      <w:tcPr>
        <w:tcBorders>
          <w:left w:val="nil"/>
        </w:tcBorders>
        <w:shd w:val="clear" w:color="auto" w:fill="FFFFFF"/>
      </w:tcPr>
    </w:tblStylePr>
    <w:tblStylePr w:type="band1Vert">
      <w:tcPr>
        <w:tcBorders>
          <w:left w:val="single" w:color="C0504D" w:sz="4" w:space="0"/>
          <w:right w:val="single" w:color="C0504D" w:sz="4" w:space="0"/>
        </w:tcBorders>
      </w:tcPr>
    </w:tblStylePr>
    <w:tblStylePr w:type="band1Horz">
      <w:tcPr>
        <w:tcBorders>
          <w:top w:val="single" w:color="C0504D" w:sz="4" w:space="0"/>
          <w:bottom w:val="single" w:color="C0504D"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C0504D" w:sz="4" w:space="0"/>
          <w:left w:val="nil"/>
        </w:tcBorders>
      </w:tcPr>
    </w:tblStylePr>
    <w:tblStylePr w:type="swCell">
      <w:tcPr>
        <w:tcBorders>
          <w:top w:val="double" w:color="C0504D" w:sz="4" w:space="0"/>
          <w:right w:val="nil"/>
        </w:tcBorders>
      </w:tcPr>
    </w:tblStylePr>
  </w:style>
  <w:style w:type="table" w:customStyle="1" w:styleId="104">
    <w:name w:val="清单表 6 彩色 - 着色 21"/>
    <w:basedOn w:val="31"/>
    <w:qFormat/>
    <w:uiPriority w:val="51"/>
    <w:rPr>
      <w:rFonts w:ascii="Times New Roman" w:hAnsi="Times New Roman" w:eastAsia="宋体" w:cs="Times New Roman"/>
      <w:color w:val="943634"/>
      <w:kern w:val="0"/>
      <w:sz w:val="20"/>
      <w:szCs w:val="20"/>
    </w:rPr>
    <w:tblPr>
      <w:tblBorders>
        <w:top w:val="single" w:color="C0504D" w:sz="4" w:space="0"/>
        <w:bottom w:val="single" w:color="C0504D" w:sz="4" w:space="0"/>
      </w:tblBorders>
      <w:tblCellMar>
        <w:top w:w="0" w:type="dxa"/>
        <w:left w:w="108" w:type="dxa"/>
        <w:bottom w:w="0" w:type="dxa"/>
        <w:right w:w="108" w:type="dxa"/>
      </w:tblCellMar>
    </w:tblPr>
    <w:tblStylePr w:type="firstRow">
      <w:rPr>
        <w:b/>
        <w:bCs/>
      </w:rPr>
      <w:tcPr>
        <w:tcBorders>
          <w:bottom w:val="single" w:color="C0504D" w:sz="4" w:space="0"/>
        </w:tcBorders>
      </w:tcPr>
    </w:tblStylePr>
    <w:tblStylePr w:type="lastRow">
      <w:rPr>
        <w:b/>
        <w:bCs/>
      </w:rPr>
      <w:tcPr>
        <w:tcBorders>
          <w:top w:val="double" w:color="C0504D" w:sz="4" w:space="0"/>
        </w:tcBorders>
      </w:tcPr>
    </w:tblStylePr>
    <w:tblStylePr w:type="firstCol">
      <w:rPr>
        <w:b/>
        <w:bCs/>
      </w:rPr>
    </w:tblStylePr>
    <w:tblStylePr w:type="lastCol">
      <w:rPr>
        <w:b/>
        <w:bCs/>
      </w:rPr>
    </w:tblStylePr>
    <w:tblStylePr w:type="band1Vert">
      <w:tcPr>
        <w:shd w:val="clear" w:color="auto" w:fill="F2DBDB"/>
      </w:tcPr>
    </w:tblStylePr>
    <w:tblStylePr w:type="band1Horz">
      <w:tcPr>
        <w:shd w:val="clear" w:color="auto" w:fill="F2DBDB"/>
      </w:tcPr>
    </w:tblStylePr>
  </w:style>
  <w:style w:type="table" w:customStyle="1" w:styleId="105">
    <w:name w:val="清单表 6 彩色 - 着色 311"/>
    <w:basedOn w:val="31"/>
    <w:qFormat/>
    <w:uiPriority w:val="51"/>
    <w:rPr>
      <w:rFonts w:ascii="Times New Roman" w:hAnsi="Times New Roman" w:eastAsia="宋体" w:cs="Times New Roman"/>
      <w:color w:val="76923C"/>
      <w:kern w:val="0"/>
      <w:sz w:val="20"/>
      <w:szCs w:val="20"/>
    </w:rPr>
    <w:tblPr>
      <w:tblBorders>
        <w:top w:val="single" w:color="9BBB59" w:sz="4" w:space="0"/>
        <w:bottom w:val="single" w:color="9BBB59" w:sz="4" w:space="0"/>
      </w:tblBorders>
      <w:tblCellMar>
        <w:top w:w="0" w:type="dxa"/>
        <w:left w:w="108" w:type="dxa"/>
        <w:bottom w:w="0" w:type="dxa"/>
        <w:right w:w="108" w:type="dxa"/>
      </w:tblCellMar>
    </w:tblPr>
    <w:tblStylePr w:type="firstRow">
      <w:rPr>
        <w:b/>
        <w:bCs/>
      </w:rPr>
      <w:tcPr>
        <w:tcBorders>
          <w:bottom w:val="single" w:color="9BBB59" w:sz="4" w:space="0"/>
        </w:tcBorders>
      </w:tcPr>
    </w:tblStylePr>
    <w:tblStylePr w:type="lastRow">
      <w:rPr>
        <w:b/>
        <w:bCs/>
      </w:rPr>
      <w:tcPr>
        <w:tcBorders>
          <w:top w:val="double" w:color="9BBB59" w:sz="4" w:space="0"/>
        </w:tcBorders>
      </w:tc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table" w:customStyle="1" w:styleId="106">
    <w:name w:val="网格表 2 - 着色 31"/>
    <w:basedOn w:val="31"/>
    <w:qFormat/>
    <w:uiPriority w:val="47"/>
    <w:rPr>
      <w:rFonts w:ascii="Times New Roman" w:hAnsi="Times New Roman" w:eastAsia="宋体" w:cs="Times New Roman"/>
      <w:kern w:val="0"/>
      <w:sz w:val="20"/>
      <w:szCs w:val="20"/>
    </w:rPr>
    <w:tblPr>
      <w:tblBorders>
        <w:top w:val="single" w:color="C2D69B" w:sz="2" w:space="0"/>
        <w:bottom w:val="single" w:color="C2D69B" w:sz="2" w:space="0"/>
        <w:insideH w:val="single" w:color="C2D69B" w:sz="2" w:space="0"/>
        <w:insideV w:val="single" w:color="C2D69B" w:sz="2" w:space="0"/>
      </w:tblBorders>
      <w:tblCellMar>
        <w:top w:w="0" w:type="dxa"/>
        <w:left w:w="108" w:type="dxa"/>
        <w:bottom w:w="0" w:type="dxa"/>
        <w:right w:w="108" w:type="dxa"/>
      </w:tblCellMar>
    </w:tblPr>
    <w:tblStylePr w:type="firstRow">
      <w:rPr>
        <w:b/>
        <w:bCs/>
      </w:rPr>
      <w:tcPr>
        <w:tcBorders>
          <w:top w:val="nil"/>
          <w:bottom w:val="single" w:color="C2D69B" w:sz="12" w:space="0"/>
          <w:insideH w:val="nil"/>
          <w:insideV w:val="nil"/>
        </w:tcBorders>
        <w:shd w:val="clear" w:color="auto" w:fill="FFFFFF"/>
      </w:tcPr>
    </w:tblStylePr>
    <w:tblStylePr w:type="lastRow">
      <w:rPr>
        <w:b/>
        <w:bCs/>
      </w:rPr>
      <w:tcPr>
        <w:tcBorders>
          <w:top w:val="double" w:color="C2D69B" w:sz="2" w:space="0"/>
          <w:bottom w:val="nil"/>
          <w:insideH w:val="nil"/>
          <w:insideV w:val="nil"/>
        </w:tcBorders>
        <w:shd w:val="clear" w:color="auto" w:fill="FFFFFF"/>
      </w:tc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table" w:customStyle="1" w:styleId="107">
    <w:name w:val="清单表 2 - 着色 21"/>
    <w:basedOn w:val="31"/>
    <w:qFormat/>
    <w:uiPriority w:val="47"/>
    <w:rPr>
      <w:rFonts w:ascii="Times New Roman" w:hAnsi="Times New Roman" w:eastAsia="宋体" w:cs="Times New Roman"/>
      <w:kern w:val="0"/>
      <w:sz w:val="20"/>
      <w:szCs w:val="20"/>
    </w:rPr>
    <w:tblPr>
      <w:tblBorders>
        <w:top w:val="single" w:color="D99594" w:sz="4" w:space="0"/>
        <w:bottom w:val="single" w:color="D99594" w:sz="4" w:space="0"/>
        <w:insideH w:val="single" w:color="D99594" w:sz="4" w:space="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DBDB"/>
      </w:tcPr>
    </w:tblStylePr>
    <w:tblStylePr w:type="band1Horz">
      <w:tcPr>
        <w:shd w:val="clear" w:color="auto" w:fill="F2DBDB"/>
      </w:tcPr>
    </w:tblStylePr>
  </w:style>
  <w:style w:type="table" w:customStyle="1" w:styleId="108">
    <w:name w:val="清单表 2 - 着色 11"/>
    <w:basedOn w:val="31"/>
    <w:qFormat/>
    <w:uiPriority w:val="47"/>
    <w:rPr>
      <w:rFonts w:ascii="Times New Roman" w:hAnsi="Times New Roman" w:eastAsia="宋体" w:cs="Times New Roman"/>
      <w:kern w:val="0"/>
      <w:sz w:val="20"/>
      <w:szCs w:val="20"/>
    </w:rPr>
    <w:tblPr>
      <w:tblBorders>
        <w:top w:val="single" w:color="95B3D7" w:sz="4" w:space="0"/>
        <w:bottom w:val="single" w:color="95B3D7" w:sz="4" w:space="0"/>
        <w:insideH w:val="single" w:color="95B3D7" w:sz="4" w:space="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DBE5F1"/>
      </w:tcPr>
    </w:tblStylePr>
    <w:tblStylePr w:type="band1Horz">
      <w:tcPr>
        <w:shd w:val="clear" w:color="auto" w:fill="DBE5F1"/>
      </w:tcPr>
    </w:tblStylePr>
  </w:style>
  <w:style w:type="paragraph" w:customStyle="1" w:styleId="109">
    <w:name w:val="Index5"/>
    <w:basedOn w:val="1"/>
    <w:next w:val="1"/>
    <w:qFormat/>
    <w:uiPriority w:val="0"/>
    <w:pPr>
      <w:spacing w:line="560" w:lineRule="atLeast"/>
      <w:ind w:left="800" w:leftChars="800" w:firstLine="200" w:firstLineChars="200"/>
      <w:textAlignment w:val="baseline"/>
    </w:pPr>
    <w:rPr>
      <w:rFonts w:ascii="Calibri" w:hAnsi="Calibri" w:eastAsia="方正仿宋_GBK" w:cs="Times New Roman"/>
      <w:sz w:val="32"/>
      <w:szCs w:val="32"/>
    </w:rPr>
  </w:style>
  <w:style w:type="paragraph" w:customStyle="1" w:styleId="110">
    <w:name w:val="Default"/>
    <w:qFormat/>
    <w:uiPriority w:val="99"/>
    <w:pPr>
      <w:widowControl w:val="0"/>
      <w:autoSpaceDE w:val="0"/>
      <w:autoSpaceDN w:val="0"/>
      <w:adjustRightInd w:val="0"/>
    </w:pPr>
    <w:rPr>
      <w:rFonts w:ascii="等线" w:hAnsi="等线" w:cs="等线" w:eastAsiaTheme="minorEastAsia"/>
      <w:color w:val="000000"/>
      <w:kern w:val="0"/>
      <w:sz w:val="24"/>
      <w:szCs w:val="24"/>
      <w:lang w:val="en-US" w:eastAsia="zh-CN" w:bidi="ar-SA"/>
    </w:rPr>
  </w:style>
  <w:style w:type="paragraph" w:customStyle="1" w:styleId="111">
    <w:name w:val="Body text|1"/>
    <w:basedOn w:val="1"/>
    <w:qFormat/>
    <w:uiPriority w:val="0"/>
    <w:pPr>
      <w:snapToGrid w:val="0"/>
      <w:spacing w:after="200" w:line="432" w:lineRule="auto"/>
      <w:ind w:firstLine="310" w:firstLineChars="200"/>
    </w:pPr>
    <w:rPr>
      <w:rFonts w:ascii="宋体" w:hAnsi="宋体" w:eastAsia="宋体" w:cs="宋体"/>
      <w:color w:val="242424"/>
      <w:sz w:val="28"/>
      <w:szCs w:val="28"/>
      <w:lang w:val="zh-TW" w:eastAsia="zh-TW" w:bidi="zh-TW"/>
    </w:rPr>
  </w:style>
  <w:style w:type="paragraph" w:customStyle="1" w:styleId="112">
    <w:name w:val="A正文"/>
    <w:qFormat/>
    <w:uiPriority w:val="0"/>
    <w:pPr>
      <w:spacing w:line="560" w:lineRule="exact"/>
      <w:ind w:firstLine="640" w:firstLineChars="200"/>
    </w:pPr>
    <w:rPr>
      <w:rFonts w:ascii="仿宋_GB2312" w:hAnsi="Times New Roman" w:eastAsia="仿宋_GB2312" w:cs="Times New Roman"/>
      <w:kern w:val="2"/>
      <w:sz w:val="32"/>
      <w:szCs w:val="24"/>
      <w:lang w:val="en-US" w:eastAsia="zh-CN" w:bidi="ar-SA"/>
    </w:rPr>
  </w:style>
  <w:style w:type="paragraph" w:customStyle="1" w:styleId="113">
    <w:name w:val="正文文字"/>
    <w:next w:val="1"/>
    <w:qFormat/>
    <w:uiPriority w:val="0"/>
    <w:pPr>
      <w:widowControl w:val="0"/>
      <w:spacing w:after="120"/>
      <w:jc w:val="both"/>
    </w:pPr>
    <w:rPr>
      <w:rFonts w:ascii="Calibri" w:hAnsi="Calibri" w:eastAsia="宋体" w:cs="Times New Roman"/>
      <w:kern w:val="2"/>
      <w:sz w:val="21"/>
      <w:szCs w:val="24"/>
      <w:lang w:val="en-US" w:eastAsia="zh-CN" w:bidi="ar-SA"/>
    </w:rPr>
  </w:style>
  <w:style w:type="paragraph" w:customStyle="1" w:styleId="114">
    <w:name w:val="xl27"/>
    <w:basedOn w:val="1"/>
    <w:qFormat/>
    <w:uiPriority w:val="0"/>
    <w:pPr>
      <w:widowControl/>
      <w:pBdr>
        <w:bottom w:val="single" w:color="auto" w:sz="4" w:space="0"/>
        <w:right w:val="single" w:color="auto" w:sz="4" w:space="0"/>
      </w:pBdr>
      <w:snapToGrid w:val="0"/>
      <w:spacing w:before="100" w:beforeAutospacing="1" w:after="100" w:afterAutospacing="1" w:line="360" w:lineRule="exact"/>
      <w:ind w:firstLine="200" w:firstLineChars="200"/>
      <w:jc w:val="center"/>
    </w:pPr>
    <w:rPr>
      <w:rFonts w:hint="eastAsia" w:ascii="宋体" w:hAnsi="宋体" w:eastAsia="仿宋" w:cs="Times New Roman"/>
      <w:kern w:val="0"/>
      <w:sz w:val="22"/>
      <w:szCs w:val="20"/>
    </w:rPr>
  </w:style>
  <w:style w:type="paragraph" w:customStyle="1" w:styleId="115">
    <w:name w:val="样式 小四 行距: 1.5 倍行距"/>
    <w:basedOn w:val="1"/>
    <w:qFormat/>
    <w:uiPriority w:val="0"/>
    <w:pPr>
      <w:snapToGrid w:val="0"/>
      <w:spacing w:line="360" w:lineRule="exact"/>
      <w:ind w:firstLine="480" w:firstLineChars="200"/>
    </w:pPr>
    <w:rPr>
      <w:rFonts w:ascii="Times New Roman" w:hAnsi="Times New Roman" w:eastAsia="仿宋" w:cs="Times New Roman"/>
      <w:sz w:val="22"/>
      <w:szCs w:val="20"/>
    </w:rPr>
  </w:style>
  <w:style w:type="character" w:customStyle="1" w:styleId="116">
    <w:name w:val="NormalCharacter"/>
    <w:qFormat/>
    <w:uiPriority w:val="0"/>
  </w:style>
  <w:style w:type="paragraph" w:customStyle="1" w:styleId="117">
    <w:name w:val="UserStyle_0"/>
    <w:basedOn w:val="118"/>
    <w:qFormat/>
    <w:uiPriority w:val="0"/>
    <w:pPr>
      <w:ind w:firstLine="420"/>
    </w:pPr>
  </w:style>
  <w:style w:type="paragraph" w:customStyle="1" w:styleId="118">
    <w:name w:val="UserStyle_1"/>
    <w:basedOn w:val="1"/>
    <w:qFormat/>
    <w:uiPriority w:val="0"/>
    <w:pPr>
      <w:snapToGrid w:val="0"/>
      <w:spacing w:after="120" w:line="360" w:lineRule="exact"/>
      <w:ind w:left="420" w:leftChars="200" w:firstLine="200" w:firstLineChars="200"/>
    </w:pPr>
    <w:rPr>
      <w:rFonts w:ascii="Times New Roman" w:hAnsi="Times New Roman" w:eastAsia="仿宋" w:cs="Times New Roman"/>
      <w:sz w:val="22"/>
      <w:szCs w:val="24"/>
    </w:rPr>
  </w:style>
  <w:style w:type="paragraph" w:customStyle="1" w:styleId="119">
    <w:name w:val="首行缩进"/>
    <w:basedOn w:val="1"/>
    <w:qFormat/>
    <w:uiPriority w:val="99"/>
    <w:pPr>
      <w:snapToGrid w:val="0"/>
      <w:spacing w:line="360" w:lineRule="exact"/>
      <w:ind w:firstLine="480" w:firstLineChars="200"/>
    </w:pPr>
    <w:rPr>
      <w:rFonts w:ascii="Times New Roman" w:hAnsi="Times New Roman" w:eastAsia="仿宋" w:cs="Times New Roman"/>
      <w:sz w:val="22"/>
      <w:szCs w:val="24"/>
      <w:lang w:val="zh-CN"/>
    </w:rPr>
  </w:style>
  <w:style w:type="paragraph" w:customStyle="1" w:styleId="120">
    <w:name w:val="样式 文字 + 首行缩进:  2 字符3"/>
    <w:basedOn w:val="1"/>
    <w:qFormat/>
    <w:uiPriority w:val="0"/>
    <w:pPr>
      <w:snapToGrid w:val="0"/>
      <w:spacing w:line="360" w:lineRule="auto"/>
      <w:ind w:firstLine="200" w:firstLineChars="200"/>
      <w:jc w:val="left"/>
    </w:pPr>
    <w:rPr>
      <w:rFonts w:ascii="Times New Roman" w:hAnsi="Times New Roman" w:eastAsia="仿宋" w:cs="Times New Roman"/>
      <w:sz w:val="28"/>
      <w:szCs w:val="28"/>
    </w:rPr>
  </w:style>
  <w:style w:type="paragraph" w:customStyle="1" w:styleId="121">
    <w:name w:val="BodyText1I2"/>
    <w:basedOn w:val="122"/>
    <w:qFormat/>
    <w:uiPriority w:val="0"/>
    <w:pPr>
      <w:spacing w:line="360" w:lineRule="auto"/>
    </w:pPr>
    <w:rPr>
      <w:szCs w:val="21"/>
    </w:rPr>
  </w:style>
  <w:style w:type="paragraph" w:customStyle="1" w:styleId="122">
    <w:name w:val="BodyTextIndent"/>
    <w:basedOn w:val="1"/>
    <w:qFormat/>
    <w:uiPriority w:val="0"/>
    <w:pPr>
      <w:snapToGrid w:val="0"/>
      <w:spacing w:after="120" w:line="360" w:lineRule="exact"/>
      <w:ind w:left="420" w:leftChars="200" w:firstLine="200" w:firstLineChars="200"/>
    </w:pPr>
    <w:rPr>
      <w:rFonts w:ascii="Times New Roman" w:hAnsi="Times New Roman" w:eastAsia="仿宋" w:cs="Times New Roman"/>
      <w:sz w:val="22"/>
      <w:szCs w:val="24"/>
    </w:rPr>
  </w:style>
  <w:style w:type="paragraph" w:customStyle="1" w:styleId="123">
    <w:name w:val="content"/>
    <w:qFormat/>
    <w:uiPriority w:val="0"/>
    <w:pPr>
      <w:widowControl w:val="0"/>
      <w:adjustRightInd w:val="0"/>
      <w:snapToGrid w:val="0"/>
      <w:spacing w:line="360" w:lineRule="auto"/>
      <w:ind w:firstLine="480" w:firstLineChars="200"/>
    </w:pPr>
    <w:rPr>
      <w:rFonts w:ascii="Calibri" w:hAnsi="Arial" w:eastAsia="宋体" w:cs="Times New Roman"/>
      <w:kern w:val="2"/>
      <w:sz w:val="24"/>
      <w:szCs w:val="24"/>
      <w:lang w:val="zh-CN" w:eastAsia="zh-CN" w:bidi="ar-SA"/>
    </w:rPr>
  </w:style>
  <w:style w:type="paragraph" w:customStyle="1" w:styleId="124">
    <w:name w:val="正文首行缩进1"/>
    <w:basedOn w:val="1"/>
    <w:next w:val="1"/>
    <w:qFormat/>
    <w:uiPriority w:val="99"/>
    <w:pPr>
      <w:snapToGrid w:val="0"/>
      <w:spacing w:after="120" w:line="360" w:lineRule="exact"/>
      <w:ind w:firstLine="420" w:firstLineChars="100"/>
    </w:pPr>
    <w:rPr>
      <w:rFonts w:ascii="Times New Roman" w:hAnsi="Times New Roman" w:eastAsia="仿宋" w:cs="Times New Roman"/>
      <w:sz w:val="22"/>
      <w:szCs w:val="24"/>
    </w:rPr>
  </w:style>
  <w:style w:type="character" w:customStyle="1" w:styleId="125">
    <w:name w:val="UserStyle_5"/>
    <w:qFormat/>
    <w:uiPriority w:val="0"/>
    <w:rPr>
      <w:rFonts w:ascii="Times New Roman" w:hAnsi="Times New Roman" w:eastAsia="宋体"/>
      <w:kern w:val="2"/>
      <w:sz w:val="21"/>
      <w:szCs w:val="24"/>
      <w:lang w:val="en-US" w:eastAsia="zh-CN" w:bidi="ar-SA"/>
    </w:rPr>
  </w:style>
  <w:style w:type="character" w:customStyle="1" w:styleId="126">
    <w:name w:val="15"/>
    <w:basedOn w:val="33"/>
    <w:qFormat/>
    <w:uiPriority w:val="0"/>
    <w:rPr>
      <w:rFonts w:hint="default" w:ascii="Arial" w:hAnsi="Arial" w:eastAsia="黑体" w:cs="Arial"/>
      <w:b/>
      <w:sz w:val="32"/>
      <w:szCs w:val="32"/>
    </w:rPr>
  </w:style>
  <w:style w:type="paragraph" w:customStyle="1" w:styleId="127">
    <w:name w:val="p0"/>
    <w:basedOn w:val="1"/>
    <w:next w:val="22"/>
    <w:semiHidden/>
    <w:qFormat/>
    <w:uiPriority w:val="0"/>
    <w:pPr>
      <w:widowControl/>
      <w:snapToGrid w:val="0"/>
      <w:spacing w:line="360" w:lineRule="exact"/>
      <w:ind w:firstLine="200" w:firstLineChars="200"/>
    </w:pPr>
    <w:rPr>
      <w:rFonts w:ascii="Times New Roman" w:hAnsi="Times New Roman" w:eastAsia="仿宋" w:cs="Times New Roman"/>
      <w:kern w:val="0"/>
      <w:sz w:val="22"/>
      <w:szCs w:val="21"/>
    </w:rPr>
  </w:style>
  <w:style w:type="paragraph" w:customStyle="1" w:styleId="128">
    <w:name w:val="3正文"/>
    <w:basedOn w:val="1"/>
    <w:qFormat/>
    <w:uiPriority w:val="0"/>
    <w:pPr>
      <w:spacing w:line="360" w:lineRule="exact"/>
      <w:ind w:firstLine="560" w:firstLineChars="200"/>
    </w:pPr>
    <w:rPr>
      <w:rFonts w:ascii="Times New Roman" w:hAnsi="Times New Roman" w:eastAsia="仿宋" w:cs="Times New Roman"/>
      <w:color w:val="FF0000"/>
      <w:sz w:val="22"/>
      <w:szCs w:val="28"/>
    </w:rPr>
  </w:style>
  <w:style w:type="paragraph" w:customStyle="1" w:styleId="129">
    <w:name w:val="样式 首行缩进:  0 字符"/>
    <w:basedOn w:val="1"/>
    <w:qFormat/>
    <w:uiPriority w:val="0"/>
    <w:pPr>
      <w:snapToGrid w:val="0"/>
      <w:spacing w:line="360" w:lineRule="auto"/>
      <w:ind w:firstLine="200" w:firstLineChars="200"/>
    </w:pPr>
    <w:rPr>
      <w:rFonts w:ascii="Arial" w:hAnsi="Arial" w:eastAsia="仿宋" w:cs="宋体"/>
      <w:sz w:val="22"/>
      <w:szCs w:val="20"/>
    </w:rPr>
  </w:style>
  <w:style w:type="paragraph" w:customStyle="1" w:styleId="130">
    <w:name w:val="BodyText"/>
    <w:next w:val="1"/>
    <w:qFormat/>
    <w:uiPriority w:val="0"/>
    <w:pPr>
      <w:widowControl w:val="0"/>
      <w:spacing w:after="120"/>
      <w:jc w:val="both"/>
    </w:pPr>
    <w:rPr>
      <w:rFonts w:ascii="Calibri" w:hAnsi="Calibri" w:eastAsia="Calibri" w:cs="Calibri"/>
      <w:color w:val="000000"/>
      <w:kern w:val="2"/>
      <w:sz w:val="21"/>
      <w:szCs w:val="21"/>
      <w:u w:color="000000"/>
      <w:lang w:val="en-US" w:eastAsia="zh-CN" w:bidi="ar-SA"/>
    </w:rPr>
  </w:style>
  <w:style w:type="character" w:customStyle="1" w:styleId="131">
    <w:name w:val="标题 1 Char1"/>
    <w:qFormat/>
    <w:uiPriority w:val="0"/>
    <w:rPr>
      <w:rFonts w:ascii="Times New Roman" w:hAnsi="Times New Roman" w:eastAsia="方正小标宋简体"/>
      <w:bCs/>
      <w:kern w:val="44"/>
      <w:sz w:val="44"/>
      <w:szCs w:val="44"/>
    </w:rPr>
  </w:style>
  <w:style w:type="table" w:customStyle="1" w:styleId="132">
    <w:name w:val="清单表 1 浅色 - 着色 51"/>
    <w:basedOn w:val="31"/>
    <w:qFormat/>
    <w:uiPriority w:val="46"/>
    <w:rPr>
      <w:rFonts w:ascii="Times New Roman" w:hAnsi="Times New Roman" w:eastAsia="宋体" w:cs="Times New Roman"/>
      <w:kern w:val="0"/>
      <w:sz w:val="20"/>
      <w:szCs w:val="20"/>
    </w:rPr>
    <w:tblPr>
      <w:tblCellMar>
        <w:top w:w="0" w:type="dxa"/>
        <w:left w:w="108" w:type="dxa"/>
        <w:bottom w:w="0" w:type="dxa"/>
        <w:right w:w="108" w:type="dxa"/>
      </w:tblCellMar>
    </w:tblPr>
    <w:tblStylePr w:type="firstRow">
      <w:rPr>
        <w:b/>
        <w:bCs/>
      </w:rPr>
      <w:tcPr>
        <w:tcBorders>
          <w:bottom w:val="single" w:color="92CDDC" w:sz="4" w:space="0"/>
        </w:tcBorders>
      </w:tcPr>
    </w:tblStylePr>
    <w:tblStylePr w:type="lastRow">
      <w:rPr>
        <w:b/>
        <w:bCs/>
      </w:rPr>
      <w:tcPr>
        <w:tcBorders>
          <w:top w:val="single" w:color="92CDDC" w:sz="4" w:space="0"/>
        </w:tcBorders>
      </w:tcPr>
    </w:tblStylePr>
    <w:tblStylePr w:type="firstCol">
      <w:rPr>
        <w:b/>
        <w:bCs/>
      </w:rPr>
    </w:tblStylePr>
    <w:tblStylePr w:type="lastCol">
      <w:rPr>
        <w:b/>
        <w:bCs/>
      </w:rPr>
    </w:tblStylePr>
    <w:tblStylePr w:type="band1Vert">
      <w:tcPr>
        <w:shd w:val="clear" w:color="auto" w:fill="DAEEF3"/>
      </w:tcPr>
    </w:tblStylePr>
    <w:tblStylePr w:type="band1Horz">
      <w:tcPr>
        <w:shd w:val="clear" w:color="auto" w:fill="DAEEF3"/>
      </w:tcPr>
    </w:tblStylePr>
  </w:style>
  <w:style w:type="table" w:customStyle="1" w:styleId="133">
    <w:name w:val="网格表 5 深色 - 着色 32"/>
    <w:basedOn w:val="31"/>
    <w:uiPriority w:val="50"/>
    <w:rPr>
      <w:rFonts w:ascii="Times New Roman" w:hAnsi="Times New Roman" w:eastAsia="宋体" w:cs="Times New Roman"/>
      <w:kern w:val="0"/>
      <w:sz w:val="20"/>
      <w:szCs w:val="20"/>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EAF1DD"/>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9BBB59"/>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9BBB59"/>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9BBB59"/>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9BBB59"/>
      </w:tcPr>
    </w:tblStylePr>
    <w:tblStylePr w:type="band1Vert">
      <w:tcPr>
        <w:shd w:val="clear" w:color="auto" w:fill="D6E3BC"/>
      </w:tcPr>
    </w:tblStylePr>
    <w:tblStylePr w:type="band1Horz">
      <w:tcPr>
        <w:shd w:val="clear" w:color="auto" w:fill="D6E3BC"/>
      </w:tcPr>
    </w:tblStylePr>
  </w:style>
  <w:style w:type="table" w:customStyle="1" w:styleId="134">
    <w:name w:val="网格表 6 彩色 - 着色 31"/>
    <w:basedOn w:val="31"/>
    <w:uiPriority w:val="51"/>
    <w:rPr>
      <w:rFonts w:ascii="Times New Roman" w:hAnsi="Times New Roman" w:eastAsia="宋体" w:cs="Times New Roman"/>
      <w:color w:val="76923C"/>
      <w:kern w:val="0"/>
      <w:sz w:val="20"/>
      <w:szCs w:val="20"/>
    </w:rPr>
    <w:tblPr>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
    <w:tblStylePr w:type="firstRow">
      <w:rPr>
        <w:b/>
        <w:bCs/>
      </w:rPr>
      <w:tcPr>
        <w:tcBorders>
          <w:bottom w:val="single" w:color="C2D69B" w:sz="12" w:space="0"/>
        </w:tcBorders>
      </w:tcPr>
    </w:tblStylePr>
    <w:tblStylePr w:type="lastRow">
      <w:rPr>
        <w:b/>
        <w:bCs/>
      </w:rPr>
      <w:tcPr>
        <w:tcBorders>
          <w:top w:val="double" w:color="C2D69B" w:sz="4" w:space="0"/>
        </w:tcBorders>
      </w:tc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table" w:customStyle="1" w:styleId="135">
    <w:name w:val="清单表 6 彩色 - 着色 32"/>
    <w:basedOn w:val="31"/>
    <w:uiPriority w:val="51"/>
    <w:rPr>
      <w:rFonts w:ascii="Times New Roman" w:hAnsi="Times New Roman" w:eastAsia="宋体" w:cs="Times New Roman"/>
      <w:color w:val="76923C"/>
      <w:kern w:val="0"/>
      <w:sz w:val="20"/>
      <w:szCs w:val="20"/>
    </w:rPr>
    <w:tblPr>
      <w:tblBorders>
        <w:top w:val="single" w:color="9BBB59" w:sz="4" w:space="0"/>
        <w:bottom w:val="single" w:color="9BBB59" w:sz="4" w:space="0"/>
      </w:tblBorders>
      <w:tblCellMar>
        <w:top w:w="0" w:type="dxa"/>
        <w:left w:w="108" w:type="dxa"/>
        <w:bottom w:w="0" w:type="dxa"/>
        <w:right w:w="108" w:type="dxa"/>
      </w:tblCellMar>
    </w:tblPr>
    <w:tblStylePr w:type="firstRow">
      <w:rPr>
        <w:b/>
        <w:bCs/>
      </w:rPr>
      <w:tcPr>
        <w:tcBorders>
          <w:bottom w:val="single" w:color="9BBB59" w:sz="4" w:space="0"/>
        </w:tcBorders>
      </w:tcPr>
    </w:tblStylePr>
    <w:tblStylePr w:type="lastRow">
      <w:rPr>
        <w:b/>
        <w:bCs/>
      </w:rPr>
      <w:tcPr>
        <w:tcBorders>
          <w:top w:val="double" w:color="9BBB59" w:sz="4" w:space="0"/>
        </w:tcBorders>
      </w:tc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table" w:customStyle="1" w:styleId="136">
    <w:name w:val="清单表 2 - 着色 32"/>
    <w:basedOn w:val="31"/>
    <w:uiPriority w:val="47"/>
    <w:rPr>
      <w:rFonts w:ascii="Times New Roman" w:hAnsi="Times New Roman" w:eastAsia="宋体" w:cs="Times New Roman"/>
      <w:kern w:val="0"/>
      <w:sz w:val="20"/>
      <w:szCs w:val="20"/>
    </w:rPr>
    <w:tblPr>
      <w:tblBorders>
        <w:top w:val="single" w:color="C2D69B" w:sz="4" w:space="0"/>
        <w:bottom w:val="single" w:color="C2D69B" w:sz="4" w:space="0"/>
        <w:insideH w:val="single" w:color="C2D69B" w:sz="4" w:space="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character" w:customStyle="1" w:styleId="137">
    <w:name w:val="批注主题 Char"/>
    <w:basedOn w:val="43"/>
    <w:link w:val="28"/>
    <w:semiHidden/>
    <w:uiPriority w:val="0"/>
    <w:rPr>
      <w:rFonts w:ascii="Times New Roman" w:hAnsi="Times New Roman" w:eastAsia="仿宋" w:cs="Times New Roman"/>
      <w:b/>
      <w:bCs/>
      <w:sz w:val="22"/>
      <w:szCs w:val="24"/>
    </w:rPr>
  </w:style>
  <w:style w:type="character" w:customStyle="1" w:styleId="138">
    <w:name w:val="Unresolved Mention"/>
    <w:basedOn w:val="33"/>
    <w:semiHidden/>
    <w:unhideWhenUsed/>
    <w:uiPriority w:val="99"/>
    <w:rPr>
      <w:color w:val="605E5C"/>
      <w:shd w:val="clear" w:color="auto" w:fill="E1DFDD"/>
    </w:rPr>
  </w:style>
  <w:style w:type="table" w:customStyle="1" w:styleId="139">
    <w:name w:val="清单表 6 彩色 - 着色 33"/>
    <w:basedOn w:val="31"/>
    <w:uiPriority w:val="51"/>
    <w:rPr>
      <w:rFonts w:ascii="Times New Roman" w:hAnsi="Times New Roman" w:eastAsia="宋体" w:cs="Times New Roman"/>
      <w:color w:val="76923C"/>
      <w:kern w:val="0"/>
      <w:sz w:val="20"/>
      <w:szCs w:val="20"/>
    </w:rPr>
    <w:tblPr>
      <w:tblBorders>
        <w:top w:val="single" w:color="9BBB59" w:sz="4" w:space="0"/>
        <w:bottom w:val="single" w:color="9BBB59" w:sz="4" w:space="0"/>
      </w:tblBorders>
      <w:tblCellMar>
        <w:top w:w="0" w:type="dxa"/>
        <w:left w:w="108" w:type="dxa"/>
        <w:bottom w:w="0" w:type="dxa"/>
        <w:right w:w="108" w:type="dxa"/>
      </w:tblCellMar>
    </w:tblPr>
    <w:tblStylePr w:type="firstRow">
      <w:rPr>
        <w:b/>
        <w:bCs/>
      </w:rPr>
      <w:tcPr>
        <w:tcBorders>
          <w:bottom w:val="single" w:color="9BBB59" w:sz="4" w:space="0"/>
        </w:tcBorders>
      </w:tcPr>
    </w:tblStylePr>
    <w:tblStylePr w:type="lastRow">
      <w:rPr>
        <w:b/>
        <w:bCs/>
      </w:rPr>
      <w:tcPr>
        <w:tcBorders>
          <w:top w:val="double" w:color="9BBB59" w:sz="4" w:space="0"/>
        </w:tcBorders>
      </w:tc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table" w:customStyle="1" w:styleId="140">
    <w:name w:val="清单表 2 - 着色 33"/>
    <w:basedOn w:val="31"/>
    <w:uiPriority w:val="47"/>
    <w:rPr>
      <w:rFonts w:ascii="Times New Roman" w:hAnsi="Times New Roman" w:eastAsia="宋体" w:cs="Times New Roman"/>
      <w:kern w:val="0"/>
      <w:sz w:val="20"/>
      <w:szCs w:val="20"/>
    </w:rPr>
    <w:tblPr>
      <w:tblBorders>
        <w:top w:val="single" w:color="C2D69B" w:sz="4" w:space="0"/>
        <w:bottom w:val="single" w:color="C2D69B" w:sz="4" w:space="0"/>
        <w:insideH w:val="single" w:color="C2D69B" w:sz="4" w:space="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paragraph" w:customStyle="1" w:styleId="141">
    <w:name w:val="Revision"/>
    <w:hidden/>
    <w:semiHidden/>
    <w:uiPriority w:val="99"/>
    <w:rPr>
      <w:rFonts w:ascii="Times New Roman" w:hAnsi="Times New Roman" w:eastAsia="仿宋" w:cs="Times New Roman"/>
      <w:kern w:val="2"/>
      <w:sz w:val="22"/>
      <w:szCs w:val="24"/>
      <w:lang w:val="en-US" w:eastAsia="zh-CN" w:bidi="ar-SA"/>
    </w:rPr>
  </w:style>
  <w:style w:type="table" w:customStyle="1" w:styleId="142">
    <w:name w:val="List Table 6 Colorful Accent 3"/>
    <w:basedOn w:val="31"/>
    <w:uiPriority w:val="51"/>
    <w:rPr>
      <w:color w:val="7B7B7B" w:themeColor="accent3" w:themeShade="BF"/>
    </w:rPr>
    <w:tblPr>
      <w:tblBorders>
        <w:top w:val="single" w:color="A5A5A5" w:themeColor="accent3" w:sz="4" w:space="0"/>
        <w:bottom w:val="single" w:color="A5A5A5" w:themeColor="accent3" w:sz="4" w:space="0"/>
      </w:tblBorders>
      <w:tblCellMar>
        <w:top w:w="0" w:type="dxa"/>
        <w:left w:w="108" w:type="dxa"/>
        <w:bottom w:w="0" w:type="dxa"/>
        <w:right w:w="108" w:type="dxa"/>
      </w:tblCellMar>
    </w:tblPr>
    <w:tblStylePr w:type="firstRow">
      <w:rPr>
        <w:b/>
        <w:bCs/>
      </w:rPr>
      <w:tcPr>
        <w:tcBorders>
          <w:bottom w:val="single" w:color="A5A5A5" w:themeColor="accent3" w:sz="4" w:space="0"/>
        </w:tcBorders>
      </w:tcPr>
    </w:tblStylePr>
    <w:tblStylePr w:type="lastRow">
      <w:rPr>
        <w:b/>
        <w:bCs/>
      </w:rPr>
      <w:tcPr>
        <w:tcBorders>
          <w:top w:val="double" w:color="A5A5A5" w:themeColor="accent3"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143">
    <w:name w:val="List Table 2 Accent 3"/>
    <w:basedOn w:val="31"/>
    <w:uiPriority w:val="47"/>
    <w:tblPr>
      <w:tblBorders>
        <w:top w:val="single" w:color="C8C8C8" w:themeColor="accent3" w:themeTint="99" w:sz="4" w:space="0"/>
        <w:bottom w:val="single" w:color="C8C8C8" w:themeColor="accent3" w:themeTint="99" w:sz="4" w:space="0"/>
        <w:insideH w:val="single" w:color="C8C8C8" w:themeColor="accent3" w:themeTint="99" w:sz="4" w:space="0"/>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144">
    <w:name w:val="网格型1"/>
    <w:basedOn w:val="31"/>
    <w:qFormat/>
    <w:uiPriority w:val="0"/>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45">
    <w:name w:val="TOC Heading"/>
    <w:basedOn w:val="2"/>
    <w:next w:val="1"/>
    <w:unhideWhenUsed/>
    <w:qFormat/>
    <w:uiPriority w:val="39"/>
    <w:pPr>
      <w:keepNext/>
      <w:keepLines/>
      <w:widowControl/>
      <w:snapToGrid/>
      <w:spacing w:before="240" w:line="259" w:lineRule="auto"/>
      <w:ind w:firstLine="0" w:firstLineChars="0"/>
      <w:jc w:val="left"/>
      <w:outlineLvl w:val="9"/>
    </w:pPr>
    <w:rPr>
      <w:rFonts w:asciiTheme="majorHAnsi" w:hAnsiTheme="majorHAnsi" w:eastAsiaTheme="majorEastAsia" w:cstheme="majorBidi"/>
      <w:b w:val="0"/>
      <w:color w:val="2F5496" w:themeColor="accent1" w:themeShade="BF"/>
      <w:kern w:val="0"/>
      <w:sz w:val="32"/>
      <w:szCs w:val="32"/>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2.xml"/><Relationship Id="rId90" Type="http://schemas.openxmlformats.org/officeDocument/2006/relationships/numbering" Target="numbering.xml"/><Relationship Id="rId9" Type="http://schemas.openxmlformats.org/officeDocument/2006/relationships/header" Target="header4.xml"/><Relationship Id="rId89" Type="http://schemas.openxmlformats.org/officeDocument/2006/relationships/customXml" Target="../customXml/item1.xml"/><Relationship Id="rId88" Type="http://schemas.openxmlformats.org/officeDocument/2006/relationships/image" Target="media/image49.emf"/><Relationship Id="rId87" Type="http://schemas.openxmlformats.org/officeDocument/2006/relationships/image" Target="media/image48.png"/><Relationship Id="rId86" Type="http://schemas.openxmlformats.org/officeDocument/2006/relationships/image" Target="media/image47.emf"/><Relationship Id="rId85" Type="http://schemas.openxmlformats.org/officeDocument/2006/relationships/image" Target="media/image46.emf"/><Relationship Id="rId84" Type="http://schemas.openxmlformats.org/officeDocument/2006/relationships/image" Target="media/image45.png"/><Relationship Id="rId83" Type="http://schemas.openxmlformats.org/officeDocument/2006/relationships/image" Target="media/image44.emf"/><Relationship Id="rId82" Type="http://schemas.openxmlformats.org/officeDocument/2006/relationships/image" Target="media/image43.emf"/><Relationship Id="rId81" Type="http://schemas.openxmlformats.org/officeDocument/2006/relationships/image" Target="media/image42.png"/><Relationship Id="rId80" Type="http://schemas.openxmlformats.org/officeDocument/2006/relationships/image" Target="media/image41.emf"/><Relationship Id="rId8" Type="http://schemas.openxmlformats.org/officeDocument/2006/relationships/header" Target="header3.xml"/><Relationship Id="rId79" Type="http://schemas.openxmlformats.org/officeDocument/2006/relationships/image" Target="media/image40.emf"/><Relationship Id="rId78" Type="http://schemas.openxmlformats.org/officeDocument/2006/relationships/image" Target="media/image39.png"/><Relationship Id="rId77" Type="http://schemas.openxmlformats.org/officeDocument/2006/relationships/image" Target="media/image38.emf"/><Relationship Id="rId76" Type="http://schemas.openxmlformats.org/officeDocument/2006/relationships/image" Target="media/image37.emf"/><Relationship Id="rId75" Type="http://schemas.openxmlformats.org/officeDocument/2006/relationships/image" Target="media/image36.png"/><Relationship Id="rId74" Type="http://schemas.openxmlformats.org/officeDocument/2006/relationships/image" Target="media/image35.emf"/><Relationship Id="rId73" Type="http://schemas.openxmlformats.org/officeDocument/2006/relationships/image" Target="media/image34.emf"/><Relationship Id="rId72" Type="http://schemas.openxmlformats.org/officeDocument/2006/relationships/image" Target="media/image33.png"/><Relationship Id="rId71" Type="http://schemas.openxmlformats.org/officeDocument/2006/relationships/image" Target="media/image32.emf"/><Relationship Id="rId70" Type="http://schemas.openxmlformats.org/officeDocument/2006/relationships/image" Target="media/image31.emf"/><Relationship Id="rId7" Type="http://schemas.openxmlformats.org/officeDocument/2006/relationships/header" Target="header2.xml"/><Relationship Id="rId69" Type="http://schemas.openxmlformats.org/officeDocument/2006/relationships/image" Target="media/image30.png"/><Relationship Id="rId68" Type="http://schemas.openxmlformats.org/officeDocument/2006/relationships/image" Target="media/image29.emf"/><Relationship Id="rId67" Type="http://schemas.openxmlformats.org/officeDocument/2006/relationships/image" Target="media/image28.emf"/><Relationship Id="rId66" Type="http://schemas.openxmlformats.org/officeDocument/2006/relationships/image" Target="media/image27.png"/><Relationship Id="rId65" Type="http://schemas.openxmlformats.org/officeDocument/2006/relationships/image" Target="media/image26.emf"/><Relationship Id="rId64" Type="http://schemas.openxmlformats.org/officeDocument/2006/relationships/image" Target="media/image25.emf"/><Relationship Id="rId63" Type="http://schemas.openxmlformats.org/officeDocument/2006/relationships/image" Target="media/image24.png"/><Relationship Id="rId62" Type="http://schemas.openxmlformats.org/officeDocument/2006/relationships/image" Target="media/image23.emf"/><Relationship Id="rId61" Type="http://schemas.openxmlformats.org/officeDocument/2006/relationships/image" Target="media/image22.emf"/><Relationship Id="rId60" Type="http://schemas.openxmlformats.org/officeDocument/2006/relationships/image" Target="media/image21.png"/><Relationship Id="rId6" Type="http://schemas.openxmlformats.org/officeDocument/2006/relationships/footer" Target="footer2.xml"/><Relationship Id="rId59" Type="http://schemas.openxmlformats.org/officeDocument/2006/relationships/image" Target="media/image20.emf"/><Relationship Id="rId58" Type="http://schemas.openxmlformats.org/officeDocument/2006/relationships/image" Target="media/image19.emf"/><Relationship Id="rId57" Type="http://schemas.openxmlformats.org/officeDocument/2006/relationships/image" Target="media/image18.png"/><Relationship Id="rId56" Type="http://schemas.openxmlformats.org/officeDocument/2006/relationships/image" Target="media/image17.emf"/><Relationship Id="rId55" Type="http://schemas.openxmlformats.org/officeDocument/2006/relationships/image" Target="media/image16.emf"/><Relationship Id="rId54" Type="http://schemas.openxmlformats.org/officeDocument/2006/relationships/image" Target="media/image15.png"/><Relationship Id="rId53" Type="http://schemas.openxmlformats.org/officeDocument/2006/relationships/image" Target="media/image14.emf"/><Relationship Id="rId52" Type="http://schemas.openxmlformats.org/officeDocument/2006/relationships/image" Target="media/image13.emf"/><Relationship Id="rId51" Type="http://schemas.openxmlformats.org/officeDocument/2006/relationships/image" Target="media/image12.png"/><Relationship Id="rId50" Type="http://schemas.openxmlformats.org/officeDocument/2006/relationships/image" Target="media/image11.emf"/><Relationship Id="rId5" Type="http://schemas.openxmlformats.org/officeDocument/2006/relationships/header" Target="header1.xml"/><Relationship Id="rId49" Type="http://schemas.openxmlformats.org/officeDocument/2006/relationships/image" Target="media/image10.emf"/><Relationship Id="rId48" Type="http://schemas.openxmlformats.org/officeDocument/2006/relationships/image" Target="media/image9.png"/><Relationship Id="rId47" Type="http://schemas.openxmlformats.org/officeDocument/2006/relationships/image" Target="media/image8.emf"/><Relationship Id="rId46" Type="http://schemas.openxmlformats.org/officeDocument/2006/relationships/image" Target="media/image7.emf"/><Relationship Id="rId45" Type="http://schemas.openxmlformats.org/officeDocument/2006/relationships/image" Target="media/image6.png"/><Relationship Id="rId44" Type="http://schemas.openxmlformats.org/officeDocument/2006/relationships/image" Target="media/image5.emf"/><Relationship Id="rId43" Type="http://schemas.openxmlformats.org/officeDocument/2006/relationships/image" Target="media/image4.emf"/><Relationship Id="rId42" Type="http://schemas.openxmlformats.org/officeDocument/2006/relationships/image" Target="media/image3.png"/><Relationship Id="rId41" Type="http://schemas.openxmlformats.org/officeDocument/2006/relationships/image" Target="media/image2.emf"/><Relationship Id="rId40" Type="http://schemas.openxmlformats.org/officeDocument/2006/relationships/image" Target="media/image1.emf"/><Relationship Id="rId4" Type="http://schemas.openxmlformats.org/officeDocument/2006/relationships/footer" Target="footer1.xml"/><Relationship Id="rId39" Type="http://schemas.openxmlformats.org/officeDocument/2006/relationships/package" Target="embeddings/Microsoft_Visio___1.vsdx"/><Relationship Id="rId38" Type="http://schemas.openxmlformats.org/officeDocument/2006/relationships/theme" Target="theme/theme1.xml"/><Relationship Id="rId37" Type="http://schemas.openxmlformats.org/officeDocument/2006/relationships/header" Target="header22.xml"/><Relationship Id="rId36" Type="http://schemas.openxmlformats.org/officeDocument/2006/relationships/footer" Target="footer12.xml"/><Relationship Id="rId35" Type="http://schemas.openxmlformats.org/officeDocument/2006/relationships/footer" Target="footer11.xml"/><Relationship Id="rId34" Type="http://schemas.openxmlformats.org/officeDocument/2006/relationships/header" Target="header21.xml"/><Relationship Id="rId33" Type="http://schemas.openxmlformats.org/officeDocument/2006/relationships/header" Target="header20.xml"/><Relationship Id="rId32" Type="http://schemas.openxmlformats.org/officeDocument/2006/relationships/header" Target="header19.xml"/><Relationship Id="rId31" Type="http://schemas.openxmlformats.org/officeDocument/2006/relationships/footer" Target="footer10.xml"/><Relationship Id="rId30" Type="http://schemas.openxmlformats.org/officeDocument/2006/relationships/footer" Target="footer9.xml"/><Relationship Id="rId3" Type="http://schemas.openxmlformats.org/officeDocument/2006/relationships/footnotes" Target="footnotes.xml"/><Relationship Id="rId29" Type="http://schemas.openxmlformats.org/officeDocument/2006/relationships/header" Target="header18.xml"/><Relationship Id="rId28" Type="http://schemas.openxmlformats.org/officeDocument/2006/relationships/header" Target="header17.xml"/><Relationship Id="rId27" Type="http://schemas.openxmlformats.org/officeDocument/2006/relationships/header" Target="header16.xml"/><Relationship Id="rId26" Type="http://schemas.openxmlformats.org/officeDocument/2006/relationships/footer" Target="footer8.xml"/><Relationship Id="rId25" Type="http://schemas.openxmlformats.org/officeDocument/2006/relationships/footer" Target="footer7.xml"/><Relationship Id="rId24" Type="http://schemas.openxmlformats.org/officeDocument/2006/relationships/header" Target="header15.xml"/><Relationship Id="rId23" Type="http://schemas.openxmlformats.org/officeDocument/2006/relationships/header" Target="header14.xml"/><Relationship Id="rId22" Type="http://schemas.openxmlformats.org/officeDocument/2006/relationships/header" Target="header13.xml"/><Relationship Id="rId21" Type="http://schemas.openxmlformats.org/officeDocument/2006/relationships/header" Target="header12.xml"/><Relationship Id="rId20" Type="http://schemas.openxmlformats.org/officeDocument/2006/relationships/header" Target="header11.xml"/><Relationship Id="rId2" Type="http://schemas.openxmlformats.org/officeDocument/2006/relationships/settings" Target="settings.xml"/><Relationship Id="rId19" Type="http://schemas.openxmlformats.org/officeDocument/2006/relationships/footer" Target="footer6.xml"/><Relationship Id="rId18" Type="http://schemas.openxmlformats.org/officeDocument/2006/relationships/footer" Target="footer5.xml"/><Relationship Id="rId17" Type="http://schemas.openxmlformats.org/officeDocument/2006/relationships/header" Target="header10.xml"/><Relationship Id="rId16" Type="http://schemas.openxmlformats.org/officeDocument/2006/relationships/header" Target="header9.xml"/><Relationship Id="rId15" Type="http://schemas.openxmlformats.org/officeDocument/2006/relationships/header" Target="header8.xml"/><Relationship Id="rId14" Type="http://schemas.openxmlformats.org/officeDocument/2006/relationships/footer" Target="footer4.xml"/><Relationship Id="rId13" Type="http://schemas.openxmlformats.org/officeDocument/2006/relationships/footer" Target="footer3.xml"/><Relationship Id="rId12" Type="http://schemas.openxmlformats.org/officeDocument/2006/relationships/header" Target="header7.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FD3E016-476B-404F-A723-B5AC72292551}">
  <ds:schemaRefs/>
</ds:datastoreItem>
</file>

<file path=docProps/app.xml><?xml version="1.0" encoding="utf-8"?>
<Properties xmlns="http://schemas.openxmlformats.org/officeDocument/2006/extended-properties" xmlns:vt="http://schemas.openxmlformats.org/officeDocument/2006/docPropsVTypes">
  <Template>Normal.dotm</Template>
  <Pages>121</Pages>
  <Words>2637</Words>
  <Characters>16386</Characters>
  <Lines>768</Lines>
  <Paragraphs>216</Paragraphs>
  <TotalTime>1</TotalTime>
  <ScaleCrop>false</ScaleCrop>
  <LinksUpToDate>false</LinksUpToDate>
  <CharactersWithSpaces>18887</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2024-04-12T20:36:00Z</dcterms:created>
  <dc:creator>璐 彭</dc:creator>
  <cp:lastModifiedBy>缪由之</cp:lastModifiedBy>
  <cp:lastPrinted>2024-04-13T05:24:00Z</cp:lastPrinted>
  <dcterms:modified xsi:type="dcterms:W3CDTF">2025-10-26T03:53:53Z</dcterms:modified>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259c3354e5308072ca7c8ad7e3fb70c4c1782cfcedd3729e9bd3d133a01a8aea</vt:lpwstr>
  </property>
  <property fmtid="{D5CDD505-2E9C-101B-9397-08002B2CF9AE}" pid="3" name="KSOTemplateDocerSaveRecord">
    <vt:lpwstr>eyJoZGlkIjoiM2VlYWQ3MDFmNDc1NThhYzBjODk4MzNjMDNiNzhkN2YiLCJ1c2VySWQiOiIxNDAyOTQ3MDk3In0=</vt:lpwstr>
  </property>
  <property fmtid="{D5CDD505-2E9C-101B-9397-08002B2CF9AE}" pid="4" name="KSOProductBuildVer">
    <vt:lpwstr>2052-12.1.0.23125</vt:lpwstr>
  </property>
  <property fmtid="{D5CDD505-2E9C-101B-9397-08002B2CF9AE}" pid="5" name="ICV">
    <vt:lpwstr>D17BF98754FB4204BDD9D1B3D92440C2_13</vt:lpwstr>
  </property>
</Properties>
</file>